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2E2" w14:textId="4A35D1E2" w:rsidR="00F30CD7" w:rsidRPr="008C4A2C" w:rsidRDefault="004256CF" w:rsidP="00F30C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D0FCF">
        <w:rPr>
          <w:sz w:val="22"/>
          <w:szCs w:val="22"/>
        </w:rPr>
        <w:t xml:space="preserve"> </w:t>
      </w:r>
      <w:r w:rsidR="000B76DA">
        <w:rPr>
          <w:noProof/>
          <w:sz w:val="22"/>
          <w:szCs w:val="22"/>
        </w:rPr>
        <w:drawing>
          <wp:inline distT="0" distB="0" distL="0" distR="0" wp14:anchorId="5D6FAE1F" wp14:editId="2077B9D3">
            <wp:extent cx="409575" cy="5524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CF">
        <w:rPr>
          <w:sz w:val="22"/>
          <w:szCs w:val="22"/>
        </w:rPr>
        <w:t xml:space="preserve">   </w:t>
      </w:r>
      <w:r w:rsidR="00382397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</w:p>
    <w:p w14:paraId="40691409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REPUBLIKA HRVATSKA</w:t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</w:p>
    <w:p w14:paraId="1A326162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VARAŽDINSKA ŽUPANIJA </w:t>
      </w:r>
    </w:p>
    <w:p w14:paraId="19CEA45A" w14:textId="29BD18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  </w:t>
      </w:r>
      <w:r w:rsidR="00E0065B">
        <w:rPr>
          <w:sz w:val="22"/>
          <w:szCs w:val="22"/>
        </w:rPr>
        <w:t>OPĆINA MARUŠEVEC</w:t>
      </w:r>
    </w:p>
    <w:p w14:paraId="2783C991" w14:textId="645C9E62" w:rsidR="00FF09FE" w:rsidRDefault="002647BF" w:rsidP="00FF09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0065B">
        <w:rPr>
          <w:sz w:val="22"/>
          <w:szCs w:val="22"/>
        </w:rPr>
        <w:t>OPĆIN</w:t>
      </w:r>
      <w:r w:rsidR="007315F4" w:rsidRPr="008A0A80">
        <w:rPr>
          <w:sz w:val="22"/>
          <w:szCs w:val="22"/>
        </w:rPr>
        <w:t>SKO VIJEĆE</w:t>
      </w:r>
    </w:p>
    <w:p w14:paraId="05D89459" w14:textId="77777777" w:rsidR="007315F4" w:rsidRPr="00943D74" w:rsidRDefault="007315F4" w:rsidP="00FF09FE">
      <w:pPr>
        <w:jc w:val="both"/>
        <w:rPr>
          <w:sz w:val="10"/>
          <w:szCs w:val="10"/>
        </w:rPr>
      </w:pPr>
    </w:p>
    <w:p w14:paraId="60BFD78C" w14:textId="574D1253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KLASA: </w:t>
      </w:r>
      <w:r w:rsidR="004A47CE">
        <w:rPr>
          <w:sz w:val="22"/>
          <w:szCs w:val="22"/>
        </w:rPr>
        <w:t xml:space="preserve"> 361-02/21-01/07</w:t>
      </w:r>
      <w:r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BCFF0F" w14:textId="223652DB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URBROJ: </w:t>
      </w:r>
      <w:r w:rsidR="004A47CE">
        <w:rPr>
          <w:sz w:val="22"/>
          <w:szCs w:val="22"/>
        </w:rPr>
        <w:t xml:space="preserve"> 2186-017/21-</w:t>
      </w:r>
      <w:r w:rsidR="000917E3">
        <w:rPr>
          <w:sz w:val="22"/>
          <w:szCs w:val="22"/>
        </w:rPr>
        <w:t>01</w:t>
      </w:r>
    </w:p>
    <w:p w14:paraId="7F91BD2F" w14:textId="77777777" w:rsidR="00F30CD7" w:rsidRPr="00943D74" w:rsidRDefault="00F30CD7" w:rsidP="00F30CD7">
      <w:pPr>
        <w:jc w:val="both"/>
        <w:rPr>
          <w:sz w:val="10"/>
          <w:szCs w:val="10"/>
        </w:rPr>
      </w:pPr>
    </w:p>
    <w:p w14:paraId="1513B301" w14:textId="19FC0E89" w:rsidR="00F30CD7" w:rsidRPr="008A0A80" w:rsidRDefault="00E0065B" w:rsidP="00F30CD7">
      <w:pPr>
        <w:jc w:val="both"/>
        <w:rPr>
          <w:sz w:val="22"/>
          <w:szCs w:val="22"/>
        </w:rPr>
      </w:pPr>
      <w:r>
        <w:rPr>
          <w:sz w:val="22"/>
          <w:szCs w:val="22"/>
        </w:rPr>
        <w:t>Maruševec</w:t>
      </w:r>
      <w:r w:rsidR="00F30CD7" w:rsidRPr="008A0A8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917E3">
        <w:rPr>
          <w:sz w:val="22"/>
          <w:szCs w:val="22"/>
        </w:rPr>
        <w:t>10. prosinca</w:t>
      </w:r>
      <w:r w:rsidR="002A0A7A">
        <w:rPr>
          <w:sz w:val="22"/>
          <w:szCs w:val="22"/>
        </w:rPr>
        <w:t xml:space="preserve"> </w:t>
      </w:r>
      <w:r w:rsidR="00817ADC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B951C0" w:rsidRPr="008A0A80">
        <w:rPr>
          <w:sz w:val="22"/>
          <w:szCs w:val="22"/>
        </w:rPr>
        <w:t>.</w:t>
      </w:r>
    </w:p>
    <w:p w14:paraId="2FC6FBD1" w14:textId="77777777" w:rsidR="00F30CD7" w:rsidRPr="008A0A80" w:rsidRDefault="00F30CD7" w:rsidP="00F30CD7">
      <w:pPr>
        <w:ind w:firstLine="708"/>
        <w:jc w:val="both"/>
        <w:rPr>
          <w:sz w:val="22"/>
          <w:szCs w:val="22"/>
        </w:rPr>
      </w:pPr>
    </w:p>
    <w:p w14:paraId="7FB73B37" w14:textId="6D0ACE44" w:rsidR="00525548" w:rsidRPr="008A0A80" w:rsidRDefault="00212D62" w:rsidP="000B76D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67</w:t>
      </w:r>
      <w:r w:rsidR="00525548" w:rsidRPr="008A0A80">
        <w:rPr>
          <w:sz w:val="22"/>
          <w:szCs w:val="22"/>
        </w:rPr>
        <w:t>.</w:t>
      </w:r>
      <w:r w:rsidR="00E0065B">
        <w:rPr>
          <w:sz w:val="22"/>
          <w:szCs w:val="22"/>
        </w:rPr>
        <w:t xml:space="preserve"> stavak 1.</w:t>
      </w:r>
      <w:r w:rsidR="00525548" w:rsidRPr="008A0A80">
        <w:rPr>
          <w:sz w:val="22"/>
          <w:szCs w:val="22"/>
        </w:rPr>
        <w:t xml:space="preserve"> Zakona o komunalnom gos</w:t>
      </w:r>
      <w:r w:rsidR="009271C5">
        <w:rPr>
          <w:sz w:val="22"/>
          <w:szCs w:val="22"/>
        </w:rPr>
        <w:t>podarstvu („Narodne novine“ br.</w:t>
      </w:r>
      <w:r w:rsidR="00525548"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</w:t>
      </w:r>
      <w:r w:rsidR="005E468A">
        <w:rPr>
          <w:sz w:val="22"/>
          <w:szCs w:val="22"/>
        </w:rPr>
        <w:t>, 110/18</w:t>
      </w:r>
      <w:r w:rsidR="00117D78">
        <w:rPr>
          <w:sz w:val="22"/>
          <w:szCs w:val="22"/>
        </w:rPr>
        <w:t>, 32/20</w:t>
      </w:r>
      <w:r w:rsidR="00525548" w:rsidRPr="008A0A80">
        <w:rPr>
          <w:sz w:val="22"/>
          <w:szCs w:val="22"/>
        </w:rPr>
        <w:t xml:space="preserve">) i </w:t>
      </w:r>
      <w:r w:rsidR="00525548" w:rsidRPr="00E0065B">
        <w:rPr>
          <w:sz w:val="22"/>
          <w:szCs w:val="22"/>
        </w:rPr>
        <w:t xml:space="preserve">članka </w:t>
      </w:r>
      <w:r w:rsidR="00E0065B" w:rsidRPr="00E0065B">
        <w:rPr>
          <w:sz w:val="22"/>
          <w:szCs w:val="22"/>
        </w:rPr>
        <w:t xml:space="preserve">31. Statuta Općine Maruševec (»Službeni vjesnik Varaždinske županije« broj </w:t>
      </w:r>
      <w:r w:rsidR="00DD74C7">
        <w:rPr>
          <w:sz w:val="22"/>
          <w:szCs w:val="22"/>
        </w:rPr>
        <w:t>17/</w:t>
      </w:r>
      <w:r w:rsidR="00E0065B" w:rsidRPr="00E0065B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E0065B" w:rsidRPr="00E0065B">
        <w:rPr>
          <w:sz w:val="22"/>
          <w:szCs w:val="22"/>
        </w:rPr>
        <w:t>)</w:t>
      </w:r>
      <w:r w:rsidR="00E0065B" w:rsidRPr="00EA7FEF">
        <w:rPr>
          <w:rFonts w:ascii="Arial" w:hAnsi="Arial"/>
        </w:rPr>
        <w:t xml:space="preserve"> </w:t>
      </w:r>
      <w:r w:rsidR="00E0065B">
        <w:rPr>
          <w:sz w:val="22"/>
          <w:szCs w:val="22"/>
        </w:rPr>
        <w:t>Općinsko</w:t>
      </w:r>
      <w:r w:rsidR="00525548" w:rsidRPr="008A0A80">
        <w:rPr>
          <w:sz w:val="22"/>
          <w:szCs w:val="22"/>
        </w:rPr>
        <w:t xml:space="preserve"> vijeće </w:t>
      </w:r>
      <w:r w:rsidR="00E0065B">
        <w:rPr>
          <w:sz w:val="22"/>
          <w:szCs w:val="22"/>
        </w:rPr>
        <w:t>Općine Maruševec</w:t>
      </w:r>
      <w:r w:rsidR="00525548" w:rsidRPr="008A0A80">
        <w:rPr>
          <w:sz w:val="22"/>
          <w:szCs w:val="22"/>
        </w:rPr>
        <w:t xml:space="preserve"> na </w:t>
      </w:r>
      <w:r w:rsidR="000917E3">
        <w:rPr>
          <w:sz w:val="22"/>
          <w:szCs w:val="22"/>
        </w:rPr>
        <w:t xml:space="preserve"> 5. </w:t>
      </w:r>
      <w:r w:rsidR="00525548" w:rsidRPr="008A0A80">
        <w:rPr>
          <w:sz w:val="22"/>
          <w:szCs w:val="22"/>
        </w:rPr>
        <w:t xml:space="preserve"> sjednici održanoj  </w:t>
      </w:r>
      <w:r w:rsidR="000917E3">
        <w:rPr>
          <w:sz w:val="22"/>
          <w:szCs w:val="22"/>
        </w:rPr>
        <w:t>10. prosinca</w:t>
      </w:r>
      <w:r w:rsidR="000A0BAE">
        <w:rPr>
          <w:sz w:val="22"/>
          <w:szCs w:val="22"/>
        </w:rPr>
        <w:t xml:space="preserve"> </w:t>
      </w:r>
      <w:r w:rsidR="007354EA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525548" w:rsidRPr="008A0A80">
        <w:rPr>
          <w:sz w:val="22"/>
          <w:szCs w:val="22"/>
        </w:rPr>
        <w:t>. godine, donosi</w:t>
      </w:r>
    </w:p>
    <w:p w14:paraId="3367B952" w14:textId="77777777" w:rsidR="000D4791" w:rsidRPr="008A0A80" w:rsidRDefault="000D4791" w:rsidP="00F30CD7">
      <w:pPr>
        <w:jc w:val="both"/>
        <w:rPr>
          <w:sz w:val="22"/>
          <w:szCs w:val="22"/>
        </w:rPr>
      </w:pPr>
    </w:p>
    <w:p w14:paraId="1ED2DB26" w14:textId="6B7078DB" w:rsidR="001260BE" w:rsidRDefault="003960F7" w:rsidP="001260BE">
      <w:pPr>
        <w:jc w:val="center"/>
        <w:rPr>
          <w:b/>
        </w:rPr>
      </w:pPr>
      <w:r w:rsidRPr="001260BE">
        <w:rPr>
          <w:b/>
        </w:rPr>
        <w:t>P</w:t>
      </w:r>
      <w:r w:rsidR="00A44F32" w:rsidRPr="001260BE">
        <w:rPr>
          <w:b/>
        </w:rPr>
        <w:t>ROGRAM GRA</w:t>
      </w:r>
      <w:r w:rsidR="00FA155C" w:rsidRPr="001260BE">
        <w:rPr>
          <w:b/>
        </w:rPr>
        <w:t xml:space="preserve">ĐENJA </w:t>
      </w:r>
      <w:r w:rsidR="00A44F32" w:rsidRPr="001260BE">
        <w:rPr>
          <w:b/>
        </w:rPr>
        <w:t>OBJEKATA I U</w:t>
      </w:r>
      <w:r w:rsidR="00835721" w:rsidRPr="001260BE">
        <w:rPr>
          <w:b/>
        </w:rPr>
        <w:t>R</w:t>
      </w:r>
      <w:r w:rsidR="00A44F32" w:rsidRPr="001260BE">
        <w:rPr>
          <w:b/>
        </w:rPr>
        <w:t>EĐAJA</w:t>
      </w:r>
    </w:p>
    <w:p w14:paraId="2D3D60DF" w14:textId="54D94EC9" w:rsidR="00A44F32" w:rsidRPr="001260BE" w:rsidRDefault="00A44F32" w:rsidP="001260BE">
      <w:pPr>
        <w:jc w:val="center"/>
        <w:rPr>
          <w:b/>
        </w:rPr>
      </w:pPr>
      <w:r w:rsidRPr="001260BE">
        <w:rPr>
          <w:b/>
        </w:rPr>
        <w:t xml:space="preserve">KOMUNALNE INFRASTRUKTURE ZA </w:t>
      </w:r>
      <w:r w:rsidR="00817ADC" w:rsidRPr="001260BE">
        <w:rPr>
          <w:b/>
        </w:rPr>
        <w:t>202</w:t>
      </w:r>
      <w:r w:rsidR="006A1AE3" w:rsidRPr="001260BE">
        <w:rPr>
          <w:b/>
        </w:rPr>
        <w:t>2</w:t>
      </w:r>
      <w:r w:rsidRPr="001260BE">
        <w:rPr>
          <w:b/>
        </w:rPr>
        <w:t>. GODINU</w:t>
      </w:r>
    </w:p>
    <w:p w14:paraId="26BA1BF0" w14:textId="27048BBF" w:rsidR="007D0BA5" w:rsidRDefault="007D0BA5" w:rsidP="000D4791">
      <w:pPr>
        <w:rPr>
          <w:b/>
          <w:sz w:val="22"/>
          <w:szCs w:val="22"/>
        </w:rPr>
      </w:pPr>
    </w:p>
    <w:p w14:paraId="76DBB4F0" w14:textId="77777777" w:rsidR="00DD74C7" w:rsidRDefault="00DD74C7" w:rsidP="000D4791">
      <w:pPr>
        <w:rPr>
          <w:b/>
          <w:sz w:val="22"/>
          <w:szCs w:val="22"/>
        </w:rPr>
      </w:pPr>
    </w:p>
    <w:p w14:paraId="4CCE8042" w14:textId="20BC7A9F" w:rsidR="00F30CD7" w:rsidRPr="008A0A80" w:rsidRDefault="00F30CD7" w:rsidP="005B3D39">
      <w:pPr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="002647BF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>gra</w:t>
      </w:r>
      <w:r w:rsidR="00FA155C">
        <w:rPr>
          <w:sz w:val="22"/>
          <w:szCs w:val="22"/>
        </w:rPr>
        <w:t xml:space="preserve">đenja </w:t>
      </w:r>
      <w:r w:rsidRPr="008A0A80">
        <w:rPr>
          <w:sz w:val="22"/>
          <w:szCs w:val="22"/>
        </w:rPr>
        <w:t xml:space="preserve">objekata i uređaja komunalne infrastrukture na području </w:t>
      </w:r>
      <w:r w:rsidR="00E0065B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 xml:space="preserve"> za </w:t>
      </w:r>
      <w:r w:rsidR="00817ADC">
        <w:rPr>
          <w:sz w:val="22"/>
          <w:szCs w:val="22"/>
        </w:rPr>
        <w:t>202</w:t>
      </w:r>
      <w:r w:rsidR="003929B8">
        <w:rPr>
          <w:sz w:val="22"/>
          <w:szCs w:val="22"/>
        </w:rPr>
        <w:t>2</w:t>
      </w:r>
      <w:r w:rsidRPr="008A0A80">
        <w:rPr>
          <w:sz w:val="22"/>
          <w:szCs w:val="22"/>
        </w:rPr>
        <w:t xml:space="preserve">. godinu, u skladu s predvidivim sredstvima i izvorima financiranja </w:t>
      </w:r>
      <w:r w:rsidR="00D84DB0">
        <w:rPr>
          <w:sz w:val="22"/>
          <w:szCs w:val="22"/>
        </w:rPr>
        <w:t xml:space="preserve">te izvješćem o stanju u prostoru, </w:t>
      </w:r>
      <w:r w:rsidRPr="008A0A80">
        <w:rPr>
          <w:sz w:val="22"/>
          <w:szCs w:val="22"/>
        </w:rPr>
        <w:t>određuje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objekata i uređaja komunalne infrastrukture:</w:t>
      </w:r>
    </w:p>
    <w:p w14:paraId="291B350D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javnih površina,</w:t>
      </w:r>
    </w:p>
    <w:p w14:paraId="13CEFBBB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prometnica i prometnih površina,</w:t>
      </w:r>
    </w:p>
    <w:p w14:paraId="069BFDC5" w14:textId="29147E98" w:rsidR="00F30CD7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rasvjete,</w:t>
      </w:r>
    </w:p>
    <w:p w14:paraId="1249633D" w14:textId="27DE752C" w:rsidR="002F5EAC" w:rsidRPr="008A0A80" w:rsidRDefault="002F5EAC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</w:p>
    <w:p w14:paraId="588E6F27" w14:textId="757979DE" w:rsidR="00E018CE" w:rsidRPr="0019564C" w:rsidRDefault="0014686F" w:rsidP="00195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="00F30CD7"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="00F30CD7" w:rsidRPr="008A0A80">
        <w:rPr>
          <w:sz w:val="22"/>
          <w:szCs w:val="22"/>
        </w:rPr>
        <w:t xml:space="preserve"> otpad</w:t>
      </w:r>
      <w:r>
        <w:rPr>
          <w:sz w:val="22"/>
          <w:szCs w:val="22"/>
        </w:rPr>
        <w:t>om</w:t>
      </w:r>
      <w:r w:rsidR="00E018CE" w:rsidRPr="0019564C">
        <w:rPr>
          <w:sz w:val="22"/>
          <w:szCs w:val="22"/>
        </w:rPr>
        <w:t>.</w:t>
      </w:r>
    </w:p>
    <w:p w14:paraId="0AF71F58" w14:textId="77777777" w:rsidR="00B32C38" w:rsidRDefault="00B32C38" w:rsidP="005B3D39">
      <w:pPr>
        <w:adjustRightInd w:val="0"/>
        <w:ind w:firstLine="360"/>
        <w:jc w:val="both"/>
        <w:rPr>
          <w:sz w:val="22"/>
          <w:szCs w:val="22"/>
        </w:rPr>
      </w:pPr>
    </w:p>
    <w:p w14:paraId="249E531F" w14:textId="77777777" w:rsidR="00B32C38" w:rsidRDefault="00B32C38" w:rsidP="00B32C38">
      <w:pPr>
        <w:adjustRightInd w:val="0"/>
        <w:ind w:firstLine="360"/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o komunalnom gospodarstvu (Narodne novine</w:t>
      </w:r>
      <w:r>
        <w:rPr>
          <w:sz w:val="22"/>
          <w:szCs w:val="22"/>
        </w:rPr>
        <w:t xml:space="preserve">“ </w:t>
      </w:r>
      <w:r w:rsidRPr="00B32C38">
        <w:rPr>
          <w:sz w:val="22"/>
          <w:szCs w:val="22"/>
        </w:rPr>
        <w:t>br</w:t>
      </w:r>
      <w:r>
        <w:rPr>
          <w:sz w:val="22"/>
          <w:szCs w:val="22"/>
        </w:rPr>
        <w:t>.</w:t>
      </w:r>
      <w:r w:rsidRPr="00B32C38">
        <w:rPr>
          <w:sz w:val="22"/>
          <w:szCs w:val="22"/>
        </w:rPr>
        <w:t xml:space="preserve"> 68/18, 110/18</w:t>
      </w:r>
      <w:r>
        <w:rPr>
          <w:sz w:val="22"/>
          <w:szCs w:val="22"/>
        </w:rPr>
        <w:t>, 32/20</w:t>
      </w:r>
      <w:r w:rsidRPr="00B32C38">
        <w:rPr>
          <w:sz w:val="22"/>
          <w:szCs w:val="22"/>
        </w:rPr>
        <w:t>) obuhvaća sljedeće radnje i radove:</w:t>
      </w:r>
    </w:p>
    <w:p w14:paraId="57F4C934" w14:textId="64D7B3B1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rješavanje imovinskopravnih odnosa na zemljištu za građenje komunalne infrastrukture</w:t>
      </w:r>
    </w:p>
    <w:p w14:paraId="5246AACD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uklanjanje i/ili izmještanje postojećih građevina na zemljištu za građenje komunalne infrastrukture i radove na sanaciji tog zemljišta</w:t>
      </w:r>
    </w:p>
    <w:p w14:paraId="18E138D3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pribavljanje projekata i druge dokumentacije potrebne za izdavanje dozvola i drugih akata za građenje i uporabu komunalne infrastrukture</w:t>
      </w:r>
    </w:p>
    <w:p w14:paraId="7B91A487" w14:textId="4A49FDC2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kojim se uređuje gradnja građevina.</w:t>
      </w:r>
    </w:p>
    <w:p w14:paraId="69B96330" w14:textId="77777777" w:rsidR="004444B8" w:rsidRDefault="004444B8" w:rsidP="005B3D39">
      <w:pPr>
        <w:adjustRightInd w:val="0"/>
        <w:ind w:firstLine="360"/>
        <w:jc w:val="both"/>
        <w:rPr>
          <w:sz w:val="22"/>
          <w:szCs w:val="22"/>
        </w:rPr>
      </w:pPr>
    </w:p>
    <w:p w14:paraId="6B4B1770" w14:textId="4724CC2B" w:rsidR="00F30CD7" w:rsidRPr="008A0A80" w:rsidRDefault="00F30CD7" w:rsidP="005B3D39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Pr="008A0A80">
        <w:rPr>
          <w:sz w:val="22"/>
          <w:szCs w:val="22"/>
        </w:rPr>
        <w:t xml:space="preserve"> određuje opis poslova s procjenom troškova za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pojedinih objekata i uređaja komunalne infrastrukture, te iskaz financijskih sredstava potrebnih za ostvarivanje programa s naznakom izvora financiranja po djelatnostima.</w:t>
      </w:r>
    </w:p>
    <w:p w14:paraId="3ACF0F96" w14:textId="77777777" w:rsidR="007B32E7" w:rsidRPr="008A0A80" w:rsidRDefault="007B32E7" w:rsidP="00525548">
      <w:pPr>
        <w:adjustRightInd w:val="0"/>
        <w:jc w:val="both"/>
        <w:rPr>
          <w:b/>
          <w:bCs/>
          <w:sz w:val="22"/>
          <w:szCs w:val="22"/>
        </w:rPr>
      </w:pPr>
    </w:p>
    <w:p w14:paraId="3495B68C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jc w:val="both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SREDSTVA ZA OSTVARIV</w:t>
      </w:r>
      <w:r w:rsidR="00CC07EC">
        <w:rPr>
          <w:b/>
          <w:bCs/>
          <w:sz w:val="22"/>
          <w:szCs w:val="22"/>
        </w:rPr>
        <w:t xml:space="preserve">ANJE PROGRAMA S NAZNAKOM IZVORA </w:t>
      </w:r>
      <w:r w:rsidRPr="00CC07EC">
        <w:rPr>
          <w:b/>
          <w:bCs/>
          <w:sz w:val="22"/>
          <w:szCs w:val="22"/>
        </w:rPr>
        <w:t>FINANCIRANJA</w:t>
      </w:r>
    </w:p>
    <w:p w14:paraId="6E88F684" w14:textId="77777777" w:rsidR="00F30CD7" w:rsidRPr="008A0A80" w:rsidRDefault="00F30CD7" w:rsidP="00F30CD7">
      <w:pPr>
        <w:adjustRightInd w:val="0"/>
        <w:ind w:firstLine="708"/>
        <w:jc w:val="both"/>
        <w:rPr>
          <w:b/>
          <w:sz w:val="22"/>
          <w:szCs w:val="22"/>
        </w:rPr>
      </w:pPr>
    </w:p>
    <w:p w14:paraId="1766281B" w14:textId="168E4914" w:rsidR="003119A2" w:rsidRDefault="00F30CD7" w:rsidP="003119A2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Sredstva potrebna za ostvarivanje Programa gra</w:t>
      </w:r>
      <w:r w:rsidR="00C10038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za </w:t>
      </w:r>
      <w:r w:rsidR="00817ADC">
        <w:rPr>
          <w:sz w:val="22"/>
          <w:szCs w:val="22"/>
        </w:rPr>
        <w:t>202</w:t>
      </w:r>
      <w:r w:rsidR="00402917">
        <w:rPr>
          <w:sz w:val="22"/>
          <w:szCs w:val="22"/>
        </w:rPr>
        <w:t>2</w:t>
      </w:r>
      <w:r w:rsidRPr="008A0A80">
        <w:rPr>
          <w:sz w:val="22"/>
          <w:szCs w:val="22"/>
        </w:rPr>
        <w:t>. osigurat će se iz komunalnog doprinosa,</w:t>
      </w:r>
      <w:r w:rsidR="002B4DE6">
        <w:rPr>
          <w:sz w:val="22"/>
          <w:szCs w:val="22"/>
        </w:rPr>
        <w:t xml:space="preserve"> komunalne naknade, </w:t>
      </w:r>
      <w:r w:rsidR="005B3D39" w:rsidRPr="009020BE">
        <w:rPr>
          <w:sz w:val="22"/>
          <w:szCs w:val="22"/>
        </w:rPr>
        <w:t>naknade za zadržavanje nezakonito izgrađenih zgrada,</w:t>
      </w:r>
      <w:r w:rsidR="00EB05BE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 xml:space="preserve">ostalih prihoda proračuna </w:t>
      </w:r>
      <w:r w:rsidR="00083EBD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>, te drugih izv</w:t>
      </w:r>
      <w:r w:rsidR="003119A2">
        <w:rPr>
          <w:sz w:val="22"/>
          <w:szCs w:val="22"/>
        </w:rPr>
        <w:t>ora utvrđenih posebnim propisom, kako slijedi:</w:t>
      </w:r>
    </w:p>
    <w:p w14:paraId="434D04F4" w14:textId="7CC3E30C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477207" w:rsidRPr="00477207" w14:paraId="32A24F7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23A4084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Opći porezni prihodi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C9FAAA" w14:textId="36AE62A8" w:rsidR="00670C71" w:rsidRPr="00477207" w:rsidRDefault="00007044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505.816,48</w:t>
            </w:r>
            <w:r w:rsidR="0034626C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A0274B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7D0081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komunalne naknade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D3FFA0" w14:textId="178C1958" w:rsidR="00670C71" w:rsidRPr="00477207" w:rsidRDefault="00167D49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kn</w:t>
            </w:r>
          </w:p>
        </w:tc>
      </w:tr>
      <w:tr w:rsidR="00477207" w:rsidRPr="00477207" w14:paraId="23CE205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B447749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A0E716" w14:textId="6FCA2023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C9DD1BD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5BB9248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sufinanciranja građana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E7A47A" w14:textId="7D030697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75686EA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3E50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vodnog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F6EFB3" w14:textId="343DEF68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10C29E00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26D2B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naknade za zadržavanje nezakonito izgrađenih zgrada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A2B9E7" w14:textId="0B867A6D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F76B306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2A8DF1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lastRenderedPageBreak/>
              <w:t>-  Prihodi od kapitalnih potpora Ministarstava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9411AC" w14:textId="1D3D3562" w:rsidR="00670C71" w:rsidRPr="00477207" w:rsidRDefault="00007044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5.736.923,52</w:t>
            </w:r>
            <w:r w:rsidR="00B25AE7">
              <w:rPr>
                <w:sz w:val="20"/>
                <w:szCs w:val="20"/>
              </w:rPr>
              <w:t xml:space="preserve">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C50AB" w:rsidRPr="00477207" w14:paraId="6E18ACC7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C744502" w14:textId="3F9AC237" w:rsidR="004C50AB" w:rsidRPr="00477207" w:rsidRDefault="004C50AB" w:rsidP="004C50AB">
            <w:pPr>
              <w:jc w:val="both"/>
              <w:rPr>
                <w:sz w:val="20"/>
                <w:szCs w:val="20"/>
              </w:rPr>
            </w:pPr>
            <w:r w:rsidRPr="00486614">
              <w:rPr>
                <w:sz w:val="20"/>
                <w:szCs w:val="20"/>
              </w:rPr>
              <w:t>-  Prihodi od pomoći (Fond za zaštitu okoliša i energetsku učinkovitost)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84701" w14:textId="4704AB15" w:rsidR="004C50AB" w:rsidRPr="00477207" w:rsidRDefault="00B25AE7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7044">
              <w:rPr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t xml:space="preserve">.000,00 </w:t>
            </w:r>
            <w:r w:rsidR="004C50AB" w:rsidRPr="00486614">
              <w:rPr>
                <w:sz w:val="20"/>
                <w:szCs w:val="20"/>
              </w:rPr>
              <w:t>kn</w:t>
            </w:r>
          </w:p>
        </w:tc>
      </w:tr>
    </w:tbl>
    <w:p w14:paraId="01EA3E78" w14:textId="126B45DB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p w14:paraId="1332B31B" w14:textId="49FE23AD" w:rsidR="00F30CD7" w:rsidRPr="008A0A80" w:rsidRDefault="00D00EBF" w:rsidP="00CC07EC">
      <w:pPr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30CD7" w:rsidRPr="008A0A80">
        <w:rPr>
          <w:sz w:val="22"/>
          <w:szCs w:val="22"/>
        </w:rPr>
        <w:t>redstva za financiranje Programa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5136B4">
        <w:rPr>
          <w:sz w:val="22"/>
          <w:szCs w:val="22"/>
        </w:rPr>
        <w:t>2</w:t>
      </w:r>
      <w:r w:rsidR="00F30CD7" w:rsidRPr="008A0A80">
        <w:rPr>
          <w:sz w:val="22"/>
          <w:szCs w:val="22"/>
        </w:rPr>
        <w:t>. rasporedit</w:t>
      </w:r>
      <w:r>
        <w:rPr>
          <w:sz w:val="22"/>
          <w:szCs w:val="22"/>
        </w:rPr>
        <w:t>i</w:t>
      </w:r>
      <w:r w:rsidR="00F30CD7" w:rsidRPr="008A0A80">
        <w:rPr>
          <w:sz w:val="22"/>
          <w:szCs w:val="22"/>
        </w:rPr>
        <w:t xml:space="preserve"> će se za financiranje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po djelatnostima: </w:t>
      </w:r>
    </w:p>
    <w:p w14:paraId="1B0DDFB0" w14:textId="77777777" w:rsidR="00F30CD7" w:rsidRPr="008A0A80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površine</w:t>
      </w:r>
      <w:r w:rsidRPr="008A0A80">
        <w:rPr>
          <w:sz w:val="22"/>
          <w:szCs w:val="22"/>
        </w:rPr>
        <w:tab/>
      </w:r>
    </w:p>
    <w:p w14:paraId="7E4B2459" w14:textId="77777777" w:rsidR="00F30CD7" w:rsidRPr="008A0A80" w:rsidRDefault="00F30CD7" w:rsidP="00A13839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prometnice i prometne površine</w:t>
      </w:r>
      <w:r w:rsidRPr="008A0A80">
        <w:rPr>
          <w:sz w:val="22"/>
          <w:szCs w:val="22"/>
        </w:rPr>
        <w:tab/>
      </w:r>
      <w:r w:rsidRPr="008A0A80">
        <w:rPr>
          <w:sz w:val="22"/>
          <w:szCs w:val="22"/>
        </w:rPr>
        <w:tab/>
      </w:r>
    </w:p>
    <w:p w14:paraId="243F11AD" w14:textId="77777777" w:rsidR="002F5EAC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javna rasvjeta</w:t>
      </w:r>
    </w:p>
    <w:p w14:paraId="23BE5A21" w14:textId="3DF72999" w:rsidR="00F30CD7" w:rsidRPr="008A0A80" w:rsidRDefault="002F5EAC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  <w:r w:rsidR="00F30CD7" w:rsidRPr="008A0A80">
        <w:rPr>
          <w:sz w:val="22"/>
          <w:szCs w:val="22"/>
        </w:rPr>
        <w:tab/>
      </w:r>
    </w:p>
    <w:p w14:paraId="4DF7C162" w14:textId="14F81784" w:rsidR="00F30CD7" w:rsidRPr="0019564C" w:rsidRDefault="004D3F7C" w:rsidP="0019564C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Pr="008A0A80">
        <w:rPr>
          <w:sz w:val="22"/>
          <w:szCs w:val="22"/>
        </w:rPr>
        <w:t xml:space="preserve"> otpad</w:t>
      </w:r>
      <w:r w:rsidR="00BD0AA4">
        <w:rPr>
          <w:sz w:val="22"/>
          <w:szCs w:val="22"/>
        </w:rPr>
        <w:t>om</w:t>
      </w:r>
      <w:r w:rsidR="0019564C">
        <w:rPr>
          <w:sz w:val="22"/>
          <w:szCs w:val="22"/>
        </w:rPr>
        <w:t>.</w:t>
      </w:r>
    </w:p>
    <w:p w14:paraId="34C2BBDF" w14:textId="77777777" w:rsidR="00F30CD7" w:rsidRPr="008A0A80" w:rsidRDefault="00F30CD7" w:rsidP="00F30CD7">
      <w:pPr>
        <w:adjustRightInd w:val="0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Iskaz financijskih sredstava potrebnih za ostvarivanje Programa s naznakom izvora financiranja i rasporeda sredstava po djelatnostima sadržan je u dijelu Programa u kojem se određuje opis poslova s procjenom troškova za gradnju pojedinih objekata i uređaja komunalne infrastrukture.</w:t>
      </w:r>
    </w:p>
    <w:p w14:paraId="2DAE29BD" w14:textId="77777777" w:rsidR="00F30CD7" w:rsidRPr="008A0A80" w:rsidRDefault="00F30CD7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Troškovi gra</w:t>
      </w:r>
      <w:r w:rsidR="00765A8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procijenjeni su temeljem važećih cijena gra</w:t>
      </w:r>
      <w:r w:rsidR="003A0D3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tih ili sličnih objekata u vrijeme izrade ovog programa, te će se točan opseg i vrijednost radova utvrditi nakon ishođenja tehničke dokumentacije i provedenog postupka nabave.</w:t>
      </w:r>
    </w:p>
    <w:p w14:paraId="0D83F554" w14:textId="77777777" w:rsidR="00182164" w:rsidRDefault="00182164" w:rsidP="00F30CD7">
      <w:pPr>
        <w:adjustRightInd w:val="0"/>
        <w:rPr>
          <w:b/>
          <w:bCs/>
          <w:sz w:val="22"/>
          <w:szCs w:val="22"/>
        </w:rPr>
      </w:pPr>
    </w:p>
    <w:p w14:paraId="1A675DCD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GRA</w:t>
      </w:r>
      <w:r w:rsidR="00E1574F">
        <w:rPr>
          <w:b/>
          <w:bCs/>
          <w:sz w:val="22"/>
          <w:szCs w:val="22"/>
        </w:rPr>
        <w:t>ĐENJE</w:t>
      </w:r>
      <w:r w:rsidRPr="00CC07EC">
        <w:rPr>
          <w:b/>
          <w:bCs/>
          <w:sz w:val="22"/>
          <w:szCs w:val="22"/>
        </w:rPr>
        <w:t xml:space="preserve"> OBJEKATA I UREĐAJA KOMUNALNE INFRASTRUKTURE</w:t>
      </w:r>
    </w:p>
    <w:p w14:paraId="0A86437D" w14:textId="77777777" w:rsidR="00F30CD7" w:rsidRPr="008A0A80" w:rsidRDefault="00F30CD7" w:rsidP="00F30CD7">
      <w:pPr>
        <w:adjustRightInd w:val="0"/>
        <w:ind w:left="720" w:hanging="720"/>
        <w:rPr>
          <w:b/>
          <w:bCs/>
          <w:sz w:val="22"/>
          <w:szCs w:val="22"/>
        </w:rPr>
      </w:pPr>
    </w:p>
    <w:p w14:paraId="5BD7C6DC" w14:textId="77777777" w:rsidR="00F30CD7" w:rsidRPr="00CC07EC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 xml:space="preserve">JAVNE POVRŠINE </w:t>
      </w:r>
    </w:p>
    <w:p w14:paraId="7FF4C574" w14:textId="77777777" w:rsidR="00F30CD7" w:rsidRPr="008A0A80" w:rsidRDefault="00F30CD7" w:rsidP="00F30CD7">
      <w:pPr>
        <w:rPr>
          <w:b/>
          <w:bCs/>
          <w:sz w:val="22"/>
          <w:szCs w:val="22"/>
        </w:rPr>
      </w:pPr>
    </w:p>
    <w:p w14:paraId="6C47E3AE" w14:textId="77777777" w:rsidR="00F30CD7" w:rsidRPr="00EB05BE" w:rsidRDefault="00AD07BD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EB05BE">
        <w:rPr>
          <w:sz w:val="22"/>
          <w:szCs w:val="22"/>
        </w:rPr>
        <w:t>U smislu ovog Programa, p</w:t>
      </w:r>
      <w:r w:rsidR="00F30CD7" w:rsidRPr="00EB05BE">
        <w:rPr>
          <w:sz w:val="22"/>
          <w:szCs w:val="22"/>
        </w:rPr>
        <w:t>od gra</w:t>
      </w:r>
      <w:r w:rsidR="00E1574F">
        <w:rPr>
          <w:sz w:val="22"/>
          <w:szCs w:val="22"/>
        </w:rPr>
        <w:t>đenjem</w:t>
      </w:r>
      <w:r w:rsidR="00F30CD7" w:rsidRPr="00EB05BE">
        <w:rPr>
          <w:sz w:val="22"/>
          <w:szCs w:val="22"/>
        </w:rPr>
        <w:t xml:space="preserve"> javnih površina podrazumijeva se gra</w:t>
      </w:r>
      <w:r w:rsidR="00E1574F">
        <w:rPr>
          <w:sz w:val="22"/>
          <w:szCs w:val="22"/>
        </w:rPr>
        <w:t>đenje</w:t>
      </w:r>
      <w:r w:rsidR="00CC07EC" w:rsidRPr="00EB05BE">
        <w:rPr>
          <w:sz w:val="22"/>
          <w:szCs w:val="22"/>
        </w:rPr>
        <w:t xml:space="preserve"> i uređenje</w:t>
      </w:r>
      <w:r w:rsidR="00EB05BE" w:rsidRPr="00EB05BE">
        <w:rPr>
          <w:sz w:val="22"/>
          <w:szCs w:val="22"/>
        </w:rPr>
        <w:t xml:space="preserve"> </w:t>
      </w:r>
      <w:r w:rsidR="00F30CD7" w:rsidRPr="00EB05BE">
        <w:rPr>
          <w:b/>
          <w:bCs/>
          <w:sz w:val="22"/>
          <w:szCs w:val="22"/>
        </w:rPr>
        <w:t>javnih prometnih površina</w:t>
      </w:r>
      <w:r w:rsidR="00F30CD7" w:rsidRPr="00EB05BE">
        <w:rPr>
          <w:sz w:val="22"/>
          <w:szCs w:val="22"/>
        </w:rPr>
        <w:t xml:space="preserve"> (trgovi, pločnici, javni prolazi, šetališta i sl.), </w:t>
      </w:r>
      <w:r w:rsidR="00F30CD7" w:rsidRPr="00EB05BE">
        <w:rPr>
          <w:b/>
          <w:bCs/>
          <w:sz w:val="22"/>
          <w:szCs w:val="22"/>
        </w:rPr>
        <w:t>javnih zelenih površina</w:t>
      </w:r>
      <w:r w:rsidR="00F30CD7" w:rsidRPr="00EB05BE">
        <w:rPr>
          <w:sz w:val="22"/>
          <w:szCs w:val="22"/>
        </w:rPr>
        <w:t xml:space="preserve"> (dječja igrališta s pripadajućom opremom,</w:t>
      </w:r>
      <w:r w:rsidR="00CC07EC" w:rsidRPr="00EB05BE">
        <w:rPr>
          <w:sz w:val="22"/>
          <w:szCs w:val="22"/>
        </w:rPr>
        <w:t xml:space="preserve"> parkovi, </w:t>
      </w:r>
      <w:r w:rsidR="00F30CD7" w:rsidRPr="00EB05BE">
        <w:rPr>
          <w:sz w:val="22"/>
          <w:szCs w:val="22"/>
        </w:rPr>
        <w:t xml:space="preserve"> javni športski i rekreacijski prostori i sl.), te </w:t>
      </w:r>
      <w:r w:rsidR="00F30CD7" w:rsidRPr="00EB05BE">
        <w:rPr>
          <w:b/>
          <w:bCs/>
          <w:sz w:val="22"/>
          <w:szCs w:val="22"/>
        </w:rPr>
        <w:t>javnih objekata i uređaja</w:t>
      </w:r>
      <w:r w:rsidR="00F30CD7" w:rsidRPr="00EB05BE">
        <w:rPr>
          <w:sz w:val="22"/>
          <w:szCs w:val="22"/>
        </w:rPr>
        <w:t xml:space="preserve"> (oglasni stupovi, javni satovi,</w:t>
      </w:r>
      <w:r w:rsidR="00EB05BE" w:rsidRPr="00EB05BE">
        <w:rPr>
          <w:sz w:val="22"/>
          <w:szCs w:val="22"/>
        </w:rPr>
        <w:t xml:space="preserve"> </w:t>
      </w:r>
      <w:r w:rsidR="002A3221" w:rsidRPr="00EB05BE">
        <w:rPr>
          <w:sz w:val="22"/>
          <w:szCs w:val="22"/>
        </w:rPr>
        <w:t xml:space="preserve">groblje, </w:t>
      </w:r>
      <w:r w:rsidR="00A13839" w:rsidRPr="00EB05BE">
        <w:rPr>
          <w:sz w:val="22"/>
          <w:szCs w:val="22"/>
        </w:rPr>
        <w:t>tržnica</w:t>
      </w:r>
      <w:r w:rsidR="00F30CD7" w:rsidRPr="00EB05BE">
        <w:rPr>
          <w:sz w:val="22"/>
          <w:szCs w:val="22"/>
        </w:rPr>
        <w:t xml:space="preserve"> i drugi slični objekti i uređaji)</w:t>
      </w:r>
      <w:r w:rsidR="00B2194A" w:rsidRPr="00EB05BE">
        <w:rPr>
          <w:sz w:val="22"/>
          <w:szCs w:val="22"/>
        </w:rPr>
        <w:t xml:space="preserve">, </w:t>
      </w:r>
      <w:r w:rsidR="00F30CD7" w:rsidRPr="00EB05BE">
        <w:rPr>
          <w:sz w:val="22"/>
          <w:szCs w:val="22"/>
        </w:rPr>
        <w:t>a u nastavku se daje opis poslova s procjenom troškova gra</w:t>
      </w:r>
      <w:r w:rsidR="001C7B81">
        <w:rPr>
          <w:sz w:val="22"/>
          <w:szCs w:val="22"/>
        </w:rPr>
        <w:t>đenja</w:t>
      </w:r>
      <w:r w:rsidR="00F30CD7" w:rsidRPr="00EB05BE">
        <w:rPr>
          <w:sz w:val="22"/>
          <w:szCs w:val="22"/>
        </w:rPr>
        <w:t xml:space="preserve"> pojedinih objekata i uređaja javnih površina, sa iskazanim izvorom financiranja za djelatnost:</w:t>
      </w:r>
    </w:p>
    <w:p w14:paraId="1CF683D2" w14:textId="77777777" w:rsidR="00FC2395" w:rsidRDefault="00FC2395" w:rsidP="00F30CD7">
      <w:pPr>
        <w:ind w:firstLine="709"/>
        <w:jc w:val="both"/>
        <w:rPr>
          <w:sz w:val="22"/>
          <w:szCs w:val="22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700"/>
      </w:tblGrid>
      <w:tr w:rsidR="00F4420A" w:rsidRPr="009143F9" w14:paraId="5C8997B7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1E2" w14:textId="7231D378" w:rsidR="00F4420A" w:rsidRPr="009143F9" w:rsidRDefault="00D46DC8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1A3" w14:textId="5B1DD984" w:rsidR="00F4420A" w:rsidRPr="009143F9" w:rsidRDefault="00F4420A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599" w14:textId="7BAF7F79" w:rsidR="00F4420A" w:rsidRPr="009143F9" w:rsidRDefault="00F4420A" w:rsidP="000A6C5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</w:t>
            </w:r>
            <w:r w:rsidR="005136B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F4420A" w:rsidRPr="009143F9" w14:paraId="2AB2E1EA" w14:textId="77777777" w:rsidTr="00235897">
        <w:trPr>
          <w:cantSplit/>
          <w:trHeight w:val="42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CF8" w14:textId="4A398847" w:rsidR="00F4420A" w:rsidRPr="00DD58FD" w:rsidRDefault="00F4420A" w:rsidP="00EA0C26">
            <w:pPr>
              <w:pStyle w:val="Odlomakpopisa"/>
              <w:adjustRightInd w:val="0"/>
              <w:rPr>
                <w:b/>
                <w:bCs/>
                <w:sz w:val="22"/>
                <w:szCs w:val="22"/>
              </w:rPr>
            </w:pPr>
            <w:r w:rsidRPr="00CC07EC">
              <w:rPr>
                <w:b/>
                <w:bCs/>
                <w:sz w:val="22"/>
                <w:szCs w:val="22"/>
              </w:rPr>
              <w:t xml:space="preserve">JAVNE POVRŠINE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8BD" w14:textId="1B13435C" w:rsidR="00F4420A" w:rsidRDefault="00007044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98001C">
              <w:rPr>
                <w:b/>
                <w:bCs/>
                <w:sz w:val="21"/>
                <w:szCs w:val="21"/>
              </w:rPr>
              <w:t>85.000,00</w:t>
            </w:r>
          </w:p>
        </w:tc>
      </w:tr>
      <w:tr w:rsidR="00F4420A" w:rsidRPr="009143F9" w14:paraId="558B7665" w14:textId="77777777" w:rsidTr="00235897">
        <w:trPr>
          <w:cantSplit/>
          <w:trHeight w:val="384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06" w14:textId="2853839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Pr="009143F9">
              <w:rPr>
                <w:b/>
                <w:bCs/>
                <w:sz w:val="21"/>
                <w:szCs w:val="21"/>
              </w:rPr>
              <w:t>GRADNJA I UREĐENJE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FCE" w14:textId="541B2800" w:rsidR="00F4420A" w:rsidRPr="00E96B85" w:rsidRDefault="00F4420A" w:rsidP="000A6C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194907">
              <w:rPr>
                <w:b/>
                <w:bCs/>
                <w:sz w:val="21"/>
                <w:szCs w:val="21"/>
              </w:rPr>
              <w:t>55</w:t>
            </w:r>
            <w:r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19F42465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A8ED" w14:textId="475B30E2" w:rsidR="00F4420A" w:rsidRDefault="00D46DC8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2637E1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23F" w14:textId="45C646CC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4475C3">
              <w:rPr>
                <w:sz w:val="21"/>
                <w:szCs w:val="21"/>
              </w:rPr>
              <w:t>Uređenje dječ</w:t>
            </w:r>
            <w:r>
              <w:rPr>
                <w:sz w:val="21"/>
                <w:szCs w:val="21"/>
              </w:rPr>
              <w:t xml:space="preserve">jih igrališta na području </w:t>
            </w:r>
            <w:r w:rsidR="00194907">
              <w:rPr>
                <w:sz w:val="21"/>
                <w:szCs w:val="21"/>
              </w:rPr>
              <w:t>Općine Maruševec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77C2" w14:textId="5BB43043" w:rsidR="00F4420A" w:rsidRPr="00501055" w:rsidRDefault="00F4420A" w:rsidP="00C9561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194907">
              <w:rPr>
                <w:b/>
                <w:sz w:val="21"/>
                <w:szCs w:val="21"/>
              </w:rPr>
              <w:t>55</w:t>
            </w:r>
            <w:r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4D886922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9C2C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F70" w14:textId="3D4E021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 Gradnja</w:t>
            </w:r>
            <w:r w:rsidR="00194907">
              <w:rPr>
                <w:bCs/>
                <w:sz w:val="21"/>
                <w:szCs w:val="21"/>
              </w:rPr>
              <w:t xml:space="preserve"> (dječje igralište Mala Iva u D. Ladanju)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A5A4" w14:textId="647A719E" w:rsidR="00F4420A" w:rsidRPr="00501055" w:rsidRDefault="00194907" w:rsidP="008533BC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F4420A" w:rsidRPr="00501055">
              <w:rPr>
                <w:sz w:val="21"/>
                <w:szCs w:val="21"/>
              </w:rPr>
              <w:t>.000,00</w:t>
            </w:r>
          </w:p>
        </w:tc>
      </w:tr>
      <w:tr w:rsidR="00F4420A" w:rsidRPr="008A0A80" w14:paraId="6DF94C77" w14:textId="77777777" w:rsidTr="00E52458">
        <w:trPr>
          <w:cantSplit/>
          <w:trHeight w:val="1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2A02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E34" w14:textId="2D73AA2B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Oprema (</w:t>
            </w:r>
            <w:r w:rsidR="00194907">
              <w:rPr>
                <w:bCs/>
                <w:sz w:val="21"/>
                <w:szCs w:val="21"/>
              </w:rPr>
              <w:t>Mjesni odbori I, II, III, IV i V)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B93FF" w14:textId="52C0E710" w:rsidR="00F4420A" w:rsidRPr="00501055" w:rsidRDefault="00194907" w:rsidP="00C9561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140.000,00</w:t>
            </w:r>
          </w:p>
        </w:tc>
      </w:tr>
      <w:tr w:rsidR="00F4420A" w:rsidRPr="009143F9" w14:paraId="2DD60C99" w14:textId="77777777" w:rsidTr="00235897">
        <w:trPr>
          <w:cantSplit/>
          <w:trHeight w:val="353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F3A" w14:textId="421B80A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 </w:t>
            </w:r>
            <w:r w:rsidRPr="009143F9">
              <w:rPr>
                <w:b/>
                <w:bCs/>
                <w:sz w:val="21"/>
                <w:szCs w:val="21"/>
              </w:rPr>
              <w:t xml:space="preserve">GRADNJA I UREĐENJE </w:t>
            </w:r>
            <w:r w:rsidR="007677FC">
              <w:rPr>
                <w:b/>
                <w:bCs/>
                <w:sz w:val="21"/>
                <w:szCs w:val="21"/>
              </w:rPr>
              <w:t>JAVNIH OBJEKATA I UREĐAJA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06D" w14:textId="21CD9DFA" w:rsidR="00F4420A" w:rsidRPr="00501055" w:rsidRDefault="0098001C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  <w:r w:rsidR="006C4869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6C1DFA80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CE6A" w14:textId="17AE3385" w:rsidR="00F4420A" w:rsidRDefault="00D74EF1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980" w14:textId="133C1A78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 </w:t>
            </w:r>
            <w:r w:rsidR="006C4869">
              <w:rPr>
                <w:sz w:val="21"/>
                <w:szCs w:val="21"/>
              </w:rPr>
              <w:t>Oglasne ploče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24A7" w14:textId="1B96BA03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  <w:r w:rsidR="00F4420A"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00CD621B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B0A4" w14:textId="77777777" w:rsidR="00F4420A" w:rsidRDefault="00F4420A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68D" w14:textId="68A3E903" w:rsidR="00F4420A" w:rsidRDefault="00F4420A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2.1. </w:t>
            </w:r>
            <w:r w:rsidR="006C4869">
              <w:rPr>
                <w:bCs/>
                <w:sz w:val="21"/>
                <w:szCs w:val="21"/>
              </w:rPr>
              <w:t>Nabava i postava oglasnih ploča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9859" w14:textId="4632BBC7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F4420A">
              <w:rPr>
                <w:sz w:val="21"/>
                <w:szCs w:val="21"/>
              </w:rPr>
              <w:t>.000,00</w:t>
            </w:r>
          </w:p>
        </w:tc>
      </w:tr>
      <w:tr w:rsidR="00F4420A" w:rsidRPr="008A0A80" w14:paraId="29EA4BD4" w14:textId="77777777" w:rsidTr="00235897">
        <w:trPr>
          <w:cantSplit/>
          <w:trHeight w:val="2541"/>
          <w:jc w:val="center"/>
        </w:trPr>
        <w:tc>
          <w:tcPr>
            <w:tcW w:w="9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48AA7" w14:textId="22293CA4" w:rsidR="00F4420A" w:rsidRPr="008C4A2C" w:rsidRDefault="00F4420A" w:rsidP="001E758F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8C4A2C">
              <w:rPr>
                <w:b/>
                <w:bCs/>
                <w:i/>
                <w:sz w:val="22"/>
                <w:szCs w:val="22"/>
              </w:rPr>
              <w:t xml:space="preserve">Izvori financiranja: </w:t>
            </w:r>
          </w:p>
          <w:p w14:paraId="338812FE" w14:textId="6AB15CDE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</w:t>
            </w:r>
            <w:r w:rsidRPr="00B25AE7">
              <w:rPr>
                <w:bCs/>
                <w:i/>
                <w:sz w:val="21"/>
                <w:szCs w:val="21"/>
              </w:rPr>
              <w:t>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="00944C79">
              <w:rPr>
                <w:bCs/>
                <w:i/>
                <w:sz w:val="21"/>
                <w:szCs w:val="21"/>
              </w:rPr>
              <w:t xml:space="preserve">     </w:t>
            </w: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944C79">
              <w:rPr>
                <w:bCs/>
                <w:i/>
                <w:sz w:val="21"/>
                <w:szCs w:val="21"/>
              </w:rPr>
              <w:t xml:space="preserve">15.000,00 kn </w:t>
            </w:r>
            <w:r w:rsidRPr="00B25AE7">
              <w:rPr>
                <w:bCs/>
                <w:i/>
                <w:sz w:val="21"/>
                <w:szCs w:val="21"/>
              </w:rPr>
              <w:t xml:space="preserve">komunalni doprinos </w:t>
            </w:r>
          </w:p>
          <w:p w14:paraId="2438F5D5" w14:textId="536CA791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1.2.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B25AE7" w:rsidRPr="00B25AE7">
              <w:rPr>
                <w:bCs/>
                <w:i/>
                <w:sz w:val="21"/>
                <w:szCs w:val="21"/>
              </w:rPr>
              <w:t>14</w:t>
            </w:r>
            <w:r w:rsidR="007840CD" w:rsidRPr="00B25AE7">
              <w:rPr>
                <w:bCs/>
                <w:i/>
                <w:sz w:val="21"/>
                <w:szCs w:val="21"/>
              </w:rPr>
              <w:t>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68FC1624" w14:textId="4AAE6E13" w:rsidR="00F4420A" w:rsidRDefault="00F4420A" w:rsidP="002637E1">
            <w:pPr>
              <w:numPr>
                <w:ilvl w:val="0"/>
                <w:numId w:val="2"/>
              </w:numPr>
              <w:adjustRightInd w:val="0"/>
              <w:rPr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2.1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-  30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</w:tc>
      </w:tr>
    </w:tbl>
    <w:p w14:paraId="1C6BDB4F" w14:textId="77777777" w:rsidR="00085D22" w:rsidRDefault="00085D22">
      <w:pPr>
        <w:rPr>
          <w:b/>
          <w:bCs/>
          <w:sz w:val="22"/>
          <w:szCs w:val="22"/>
        </w:rPr>
      </w:pPr>
    </w:p>
    <w:p w14:paraId="517FAD2B" w14:textId="20C1ACA4" w:rsidR="00BB589D" w:rsidRDefault="00BB589D" w:rsidP="00BB589D">
      <w:pPr>
        <w:pStyle w:val="Odlomakpopisa"/>
        <w:adjustRightInd w:val="0"/>
        <w:rPr>
          <w:b/>
          <w:bCs/>
          <w:sz w:val="22"/>
          <w:szCs w:val="22"/>
        </w:rPr>
      </w:pPr>
    </w:p>
    <w:p w14:paraId="4108CBF8" w14:textId="0985D25F" w:rsidR="002637E1" w:rsidRDefault="002637E1" w:rsidP="00BB589D">
      <w:pPr>
        <w:pStyle w:val="Odlomakpopisa"/>
        <w:adjustRightInd w:val="0"/>
        <w:rPr>
          <w:b/>
          <w:bCs/>
          <w:sz w:val="22"/>
          <w:szCs w:val="22"/>
        </w:rPr>
      </w:pPr>
    </w:p>
    <w:p w14:paraId="6DE441DA" w14:textId="68BF4300" w:rsidR="002637E1" w:rsidRDefault="002637E1" w:rsidP="00BB589D">
      <w:pPr>
        <w:pStyle w:val="Odlomakpopisa"/>
        <w:adjustRightInd w:val="0"/>
        <w:rPr>
          <w:b/>
          <w:bCs/>
          <w:sz w:val="22"/>
          <w:szCs w:val="22"/>
        </w:rPr>
      </w:pPr>
    </w:p>
    <w:p w14:paraId="0C7A4C1E" w14:textId="77777777" w:rsidR="002637E1" w:rsidRDefault="002637E1" w:rsidP="00BB589D">
      <w:pPr>
        <w:pStyle w:val="Odlomakpopisa"/>
        <w:adjustRightInd w:val="0"/>
        <w:rPr>
          <w:b/>
          <w:bCs/>
          <w:sz w:val="22"/>
          <w:szCs w:val="22"/>
        </w:rPr>
      </w:pPr>
    </w:p>
    <w:p w14:paraId="715B5C8A" w14:textId="6D78E1EA" w:rsidR="00F30CD7" w:rsidRPr="00AD07BD" w:rsidRDefault="00F66B5E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PROMETNICE I PROMETNE POVRŠINE</w:t>
      </w:r>
    </w:p>
    <w:p w14:paraId="58FA020F" w14:textId="77777777" w:rsidR="007B32E7" w:rsidRPr="008A0A80" w:rsidRDefault="007B32E7" w:rsidP="00F30CD7">
      <w:pPr>
        <w:ind w:firstLine="709"/>
        <w:jc w:val="both"/>
        <w:rPr>
          <w:b/>
          <w:bCs/>
          <w:sz w:val="22"/>
          <w:szCs w:val="22"/>
        </w:rPr>
      </w:pPr>
    </w:p>
    <w:p w14:paraId="0A2DD0E5" w14:textId="77777777" w:rsidR="007B32E7" w:rsidRPr="00F054C8" w:rsidRDefault="00F30CD7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F054C8">
        <w:rPr>
          <w:bCs/>
          <w:sz w:val="22"/>
          <w:szCs w:val="22"/>
        </w:rPr>
        <w:t xml:space="preserve">Pod prometnicama i prometnim površinama </w:t>
      </w:r>
      <w:r w:rsidRPr="00F054C8">
        <w:rPr>
          <w:sz w:val="22"/>
          <w:szCs w:val="22"/>
        </w:rPr>
        <w:t xml:space="preserve">podrazumijevaju se radovi na izgradnji odnosno rekonstrukciji </w:t>
      </w:r>
      <w:r w:rsidR="00AD07BD" w:rsidRPr="00F054C8">
        <w:rPr>
          <w:sz w:val="22"/>
          <w:szCs w:val="22"/>
        </w:rPr>
        <w:t>prometnica i prometnih površina, izgradnja i uređenje nogostupa, autobusnih stajališta, mostova, te modernizacija-asfaltiranje nerazvrstanih cesta</w:t>
      </w:r>
      <w:r w:rsidR="00B2194A" w:rsidRPr="00F054C8">
        <w:rPr>
          <w:sz w:val="22"/>
          <w:szCs w:val="22"/>
        </w:rPr>
        <w:t>,</w:t>
      </w:r>
      <w:r w:rsidRPr="00F054C8">
        <w:rPr>
          <w:sz w:val="22"/>
          <w:szCs w:val="22"/>
        </w:rPr>
        <w:t xml:space="preserve"> a u nastavku se daje opis poslova s procjenom troškova gradnje prometnica i prometnih površina sa iskazanim izvorom financiranja za djelatnost:</w:t>
      </w:r>
    </w:p>
    <w:p w14:paraId="1AB393B2" w14:textId="77777777" w:rsidR="00233EB2" w:rsidRPr="00F054C8" w:rsidRDefault="00233EB2" w:rsidP="00F054C8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417"/>
      </w:tblGrid>
      <w:tr w:rsidR="00262ACF" w:rsidRPr="009143F9" w14:paraId="09E5A84F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CB5" w14:textId="32152C9A" w:rsidR="00262ACF" w:rsidRPr="00262ACF" w:rsidRDefault="00D46DC8" w:rsidP="00262ACF">
            <w:pPr>
              <w:adjustRightInd w:val="0"/>
              <w:ind w:left="108" w:righ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779" w14:textId="33A72B9B" w:rsidR="00262ACF" w:rsidRPr="009143F9" w:rsidRDefault="00262ACF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58F" w14:textId="3BC619EC" w:rsidR="00262ACF" w:rsidRPr="009143F9" w:rsidRDefault="00262ACF" w:rsidP="00C13DAB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za 202</w:t>
            </w:r>
            <w:r w:rsidR="005136B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51BBC" w:rsidRPr="009143F9" w14:paraId="70F0BAEF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B82" w14:textId="5F2E5599" w:rsidR="00951BBC" w:rsidRPr="00F66B5E" w:rsidRDefault="00951BBC" w:rsidP="00951BBC">
            <w:pPr>
              <w:pStyle w:val="Odlomakpopisa"/>
              <w:adjustRightInd w:val="0"/>
              <w:ind w:left="2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PROMETNICE I PROMETNE POVRŠINE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588" w14:textId="2BF374B9" w:rsidR="00951BBC" w:rsidRDefault="00007044" w:rsidP="002A3F0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2.730</w:t>
            </w:r>
            <w:r w:rsidR="00537805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951BBC" w:rsidRPr="009143F9" w14:paraId="7C85F1DC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6E" w14:textId="7151C6FB" w:rsidR="00951BBC" w:rsidRPr="009143F9" w:rsidRDefault="00951BBC" w:rsidP="00294229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381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="00890076">
              <w:rPr>
                <w:b/>
                <w:bCs/>
                <w:sz w:val="21"/>
                <w:szCs w:val="21"/>
              </w:rPr>
              <w:t xml:space="preserve">MODERNIZACIJA </w:t>
            </w:r>
            <w:r w:rsidRPr="008A0A80">
              <w:rPr>
                <w:b/>
                <w:bCs/>
                <w:sz w:val="21"/>
                <w:szCs w:val="21"/>
              </w:rPr>
              <w:t>IZGRADNJA I REKONSTRUKCIJA PROMETNICA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8A0A80">
              <w:rPr>
                <w:b/>
                <w:bCs/>
                <w:sz w:val="21"/>
                <w:szCs w:val="21"/>
              </w:rPr>
              <w:t xml:space="preserve"> PROMETNIH POVRŠINA</w:t>
            </w:r>
            <w:r>
              <w:rPr>
                <w:b/>
                <w:bCs/>
                <w:sz w:val="21"/>
                <w:szCs w:val="21"/>
              </w:rPr>
              <w:t xml:space="preserve"> I NOGOSTUPA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0AB" w14:textId="08728832" w:rsidR="00951BBC" w:rsidRDefault="00007044" w:rsidP="006D3D4B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2.730</w:t>
            </w:r>
            <w:r w:rsidR="0098001C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0AE94A60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9AC" w14:textId="26D5B531" w:rsidR="00262ACF" w:rsidRPr="00482491" w:rsidRDefault="00841530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5F7" w14:textId="374B3D3B" w:rsidR="00262ACF" w:rsidRPr="00A320C6" w:rsidRDefault="00262ACF" w:rsidP="003C74E4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Uređenje lokalnih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81CD" w14:textId="7DAF37A9" w:rsidR="00262ACF" w:rsidRPr="00E96B85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DE2486">
              <w:rPr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3C74E4" w14:paraId="6EAB75E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CB5" w14:textId="546BB91B" w:rsidR="00262ACF" w:rsidRPr="00262ACF" w:rsidRDefault="00262ACF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6B6" w14:textId="23438223" w:rsidR="00262ACF" w:rsidRPr="003C74E4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1.1.1. Kapitalna donacija ŽUC-u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C7" w14:textId="39952C17" w:rsidR="00262ACF" w:rsidRPr="003C74E4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E2486">
              <w:rPr>
                <w:sz w:val="21"/>
                <w:szCs w:val="21"/>
              </w:rPr>
              <w:t>5</w:t>
            </w:r>
            <w:r w:rsidRPr="003C74E4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25B480F8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F0E6" w14:textId="3F081C71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21B" w14:textId="245FAD59" w:rsidR="00262ACF" w:rsidRPr="00790B90" w:rsidRDefault="00262ACF" w:rsidP="003C74E4">
            <w:pPr>
              <w:adjustRightInd w:val="0"/>
              <w:spacing w:before="100" w:beforeAutospacing="1" w:after="100" w:afterAutospacing="1"/>
              <w:ind w:left="239" w:hanging="23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Sanacija klizišta uz 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1F8" w14:textId="1F220119" w:rsidR="00262ACF" w:rsidRPr="00BD523C" w:rsidRDefault="00402917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  <w:r w:rsidR="00262ACF"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8A0A80" w14:paraId="03FC9D8E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37D9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6E6" w14:textId="17EB5890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3A1E2F">
              <w:rPr>
                <w:bCs/>
                <w:sz w:val="21"/>
                <w:szCs w:val="21"/>
              </w:rPr>
              <w:t>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1000" w14:textId="201BD74C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421E238C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EC11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03FD" w14:textId="4C86677E" w:rsidR="00262ACF" w:rsidRPr="00A51C6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A51C6F">
              <w:rPr>
                <w:bCs/>
                <w:sz w:val="21"/>
                <w:szCs w:val="21"/>
              </w:rPr>
              <w:t>.2. Gradnja (</w:t>
            </w:r>
            <w:proofErr w:type="spellStart"/>
            <w:r w:rsidR="00DE2486">
              <w:rPr>
                <w:bCs/>
                <w:sz w:val="21"/>
                <w:szCs w:val="21"/>
              </w:rPr>
              <w:t>Čalinec</w:t>
            </w:r>
            <w:proofErr w:type="spellEnd"/>
            <w:r w:rsidR="00DE2486">
              <w:rPr>
                <w:bCs/>
                <w:sz w:val="21"/>
                <w:szCs w:val="21"/>
              </w:rPr>
              <w:t xml:space="preserve"> – Osnovna škola</w:t>
            </w:r>
            <w:r w:rsidRPr="00A51C6F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CB9D" w14:textId="52F59C5D" w:rsidR="00262ACF" w:rsidRPr="00A51C6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7B5F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</w:t>
            </w:r>
            <w:r w:rsidR="00262ACF" w:rsidRPr="00A51C6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10E634E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7B7F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FB6" w14:textId="235E150E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1.2.3. </w:t>
            </w:r>
            <w:r w:rsidRPr="003A1E2F">
              <w:rPr>
                <w:bCs/>
                <w:sz w:val="21"/>
                <w:szCs w:val="21"/>
              </w:rPr>
              <w:t>Nadzor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3864" w14:textId="614D4662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12AAD1F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C189" w14:textId="3E6A241F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BAA" w14:textId="12232C44" w:rsidR="00262ACF" w:rsidRDefault="00262ACF" w:rsidP="00DE7652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187B5F">
              <w:rPr>
                <w:bCs/>
                <w:sz w:val="21"/>
                <w:szCs w:val="21"/>
              </w:rPr>
              <w:t>3</w:t>
            </w:r>
            <w:r w:rsidR="007C1C1C">
              <w:rPr>
                <w:bCs/>
                <w:sz w:val="21"/>
                <w:szCs w:val="21"/>
              </w:rPr>
              <w:t xml:space="preserve">. Modernizacija nerazvrstane ceste u </w:t>
            </w:r>
            <w:proofErr w:type="spellStart"/>
            <w:r w:rsidR="007C1C1C">
              <w:rPr>
                <w:bCs/>
                <w:sz w:val="21"/>
                <w:szCs w:val="21"/>
              </w:rPr>
              <w:t>Druškovcu</w:t>
            </w:r>
            <w:proofErr w:type="spellEnd"/>
            <w:r w:rsidR="007C1C1C">
              <w:rPr>
                <w:bCs/>
                <w:sz w:val="21"/>
                <w:szCs w:val="21"/>
              </w:rPr>
              <w:t xml:space="preserve"> – odvojak </w:t>
            </w:r>
            <w:proofErr w:type="spellStart"/>
            <w:r w:rsidR="007C1C1C">
              <w:rPr>
                <w:bCs/>
                <w:sz w:val="21"/>
                <w:szCs w:val="21"/>
              </w:rPr>
              <w:t>Flisi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4BF5" w14:textId="48C574D4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  <w:r w:rsidR="00262ACF" w:rsidRPr="00E876A7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62ACF" w:rsidRPr="008A0A80" w14:paraId="7DC0CA5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00AC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7E17" w14:textId="60256417" w:rsidR="00262ACF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187B5F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.1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 w:rsidR="007C1C1C">
              <w:rPr>
                <w:bCs/>
                <w:sz w:val="21"/>
                <w:szCs w:val="21"/>
              </w:rPr>
              <w:t>Modernizacija -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1B30" w14:textId="1248BEB5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51B6B6B8" w14:textId="77777777" w:rsidTr="00676A97">
        <w:trPr>
          <w:cantSplit/>
          <w:trHeight w:val="2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E9C0" w14:textId="65186F19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3B9" w14:textId="5BFCE529" w:rsidR="00262ACF" w:rsidRDefault="00262ACF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027773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027773">
              <w:rPr>
                <w:bCs/>
                <w:sz w:val="21"/>
                <w:szCs w:val="21"/>
              </w:rPr>
              <w:t>Izvođenje radova na izgradnji odvodnje oborinskih voda u Selniku – odvojak Kolarići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F70" w14:textId="55D40743" w:rsidR="00262ACF" w:rsidRPr="00310641" w:rsidRDefault="00027773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</w:t>
            </w:r>
            <w:r w:rsidR="00262ACF">
              <w:rPr>
                <w:b/>
                <w:bCs/>
                <w:sz w:val="21"/>
                <w:szCs w:val="21"/>
              </w:rPr>
              <w:t>0</w:t>
            </w:r>
            <w:r w:rsidR="00262ACF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5AE3691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8F4D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46C" w14:textId="4BB8A668" w:rsidR="00262ACF" w:rsidRPr="00223495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027773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>.1.</w:t>
            </w:r>
            <w:r w:rsidR="00027773">
              <w:rPr>
                <w:bCs/>
                <w:sz w:val="21"/>
                <w:szCs w:val="21"/>
              </w:rPr>
              <w:t xml:space="preserve"> 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C6F" w14:textId="579BB8D3" w:rsidR="00262ACF" w:rsidRPr="00E96B85" w:rsidRDefault="00027773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EF7B67" w:rsidRPr="008A0A80" w14:paraId="115FEAA0" w14:textId="77777777" w:rsidTr="00676A97">
        <w:trPr>
          <w:cantSplit/>
          <w:trHeight w:val="23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5122" w14:textId="432A5E60" w:rsidR="00EF7B67" w:rsidRPr="00262ACF" w:rsidRDefault="00EF7B67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C8" w14:textId="0E79B301" w:rsidR="00EF7B67" w:rsidRDefault="00EF7B67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1.5. Izvođenje radova na izgradnji odvodnje oborinskih voda Ulice Gustava </w:t>
            </w:r>
            <w:proofErr w:type="spellStart"/>
            <w:r>
              <w:rPr>
                <w:bCs/>
                <w:sz w:val="21"/>
                <w:szCs w:val="21"/>
              </w:rPr>
              <w:t>Krkleca</w:t>
            </w:r>
            <w:proofErr w:type="spellEnd"/>
            <w:r>
              <w:rPr>
                <w:bCs/>
                <w:sz w:val="21"/>
                <w:szCs w:val="21"/>
              </w:rPr>
              <w:t xml:space="preserve"> u Donjem Ladanju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B6C1" w14:textId="241C4DE2" w:rsidR="00EF7B67" w:rsidRPr="00310641" w:rsidRDefault="00EF7B67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1.200</w:t>
            </w:r>
            <w:r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EF7B67" w:rsidRPr="008A0A80" w14:paraId="0EC731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F1DA" w14:textId="77777777" w:rsidR="00EF7B67" w:rsidRPr="00262ACF" w:rsidRDefault="00EF7B67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ADCE" w14:textId="0B9B2121" w:rsidR="00EF7B67" w:rsidRPr="00223495" w:rsidRDefault="00EF7B67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1.5.1.Projektna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BB8" w14:textId="4B8D48C9" w:rsidR="00EF7B67" w:rsidRPr="00E96B85" w:rsidRDefault="00EF7B67" w:rsidP="00027773">
            <w:pPr>
              <w:adjustRightInd w:val="0"/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50.000,00</w:t>
            </w:r>
          </w:p>
        </w:tc>
      </w:tr>
      <w:tr w:rsidR="00EF7B67" w:rsidRPr="008A0A80" w14:paraId="73DA3E1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E2C4" w14:textId="77777777" w:rsidR="00EF7B67" w:rsidRPr="00262ACF" w:rsidRDefault="00EF7B67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725D" w14:textId="745A9334" w:rsidR="00EF7B67" w:rsidRDefault="00EF7B67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1.5.2.Radovi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3F9C" w14:textId="459A107B" w:rsidR="00EF7B67" w:rsidRDefault="00EF7B67" w:rsidP="00027773">
            <w:pPr>
              <w:adjustRightInd w:val="0"/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1.150.000,00</w:t>
            </w:r>
          </w:p>
        </w:tc>
      </w:tr>
      <w:tr w:rsidR="00482491" w:rsidRPr="008A0A80" w14:paraId="2150E0EB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B4D5" w14:textId="25C9CAB4" w:rsidR="00482491" w:rsidRPr="00262ACF" w:rsidRDefault="00D46DC8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F40" w14:textId="67D6993C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F36123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027773">
              <w:rPr>
                <w:bCs/>
                <w:sz w:val="21"/>
                <w:szCs w:val="21"/>
              </w:rPr>
              <w:t>Izvođenje radova na izgradnji</w:t>
            </w:r>
            <w:r w:rsidR="00890076">
              <w:rPr>
                <w:bCs/>
                <w:sz w:val="21"/>
                <w:szCs w:val="21"/>
              </w:rPr>
              <w:t xml:space="preserve"> odvodnje sa nerazvrstane ceste u </w:t>
            </w:r>
            <w:proofErr w:type="spellStart"/>
            <w:r w:rsidR="00890076">
              <w:rPr>
                <w:bCs/>
                <w:sz w:val="21"/>
                <w:szCs w:val="21"/>
              </w:rPr>
              <w:t>Bikovcu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5836" w14:textId="796E954A" w:rsidR="00482491" w:rsidRPr="0031064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  <w:r w:rsidRPr="00310641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482491" w:rsidRPr="008A0A80" w14:paraId="22987BC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D99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4DEB" w14:textId="5253E2A1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F36123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.1.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1334" w14:textId="29A7E375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80.000,00</w:t>
            </w:r>
          </w:p>
        </w:tc>
      </w:tr>
      <w:tr w:rsidR="00482491" w:rsidRPr="009143F9" w14:paraId="369CB6E4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3FCF" w14:textId="26E2385C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9EE" w14:textId="54C9FBFF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F36123">
              <w:rPr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F36123">
              <w:rPr>
                <w:bCs/>
                <w:sz w:val="21"/>
                <w:szCs w:val="21"/>
              </w:rPr>
              <w:t xml:space="preserve">Izgradnja autobusnog ugibališta i nogostupa u </w:t>
            </w:r>
            <w:proofErr w:type="spellStart"/>
            <w:r w:rsidR="00F36123">
              <w:rPr>
                <w:bCs/>
                <w:sz w:val="21"/>
                <w:szCs w:val="21"/>
              </w:rPr>
              <w:t>Korenjaku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7C69" w14:textId="41F75827" w:rsidR="00482491" w:rsidRPr="00697F74" w:rsidRDefault="00B92AB4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350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30A8AE1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AD4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0E23" w14:textId="72922E0C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92AB4">
              <w:rPr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>.1.</w:t>
            </w:r>
            <w:r w:rsidR="0098001C">
              <w:rPr>
                <w:bCs/>
                <w:sz w:val="21"/>
                <w:szCs w:val="21"/>
              </w:rPr>
              <w:t xml:space="preserve"> </w:t>
            </w:r>
            <w:r w:rsidR="00B92AB4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F3A" w14:textId="58C886E5" w:rsidR="00482491" w:rsidRPr="00EB3F2E" w:rsidRDefault="00B92AB4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350</w:t>
            </w:r>
            <w:r w:rsidR="00482491">
              <w:rPr>
                <w:bCs/>
                <w:sz w:val="21"/>
                <w:szCs w:val="21"/>
              </w:rPr>
              <w:t>.000,00</w:t>
            </w:r>
          </w:p>
        </w:tc>
      </w:tr>
      <w:tr w:rsidR="0098001C" w:rsidRPr="008A0A80" w14:paraId="4F56CF8F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C790D" w14:textId="4F98EF59" w:rsidR="0098001C" w:rsidRPr="00262ACF" w:rsidRDefault="0098001C" w:rsidP="0098001C">
            <w:pPr>
              <w:adjustRightInd w:val="0"/>
              <w:ind w:left="97" w:right="108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72" w14:textId="3032119E" w:rsidR="0098001C" w:rsidRDefault="0098001C" w:rsidP="00074A6D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92AB4">
              <w:rPr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. Evidentiranje nerazvrstanih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AD7" w14:textId="5EF61650" w:rsidR="0098001C" w:rsidRPr="0098001C" w:rsidRDefault="00B92AB4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98001C" w:rsidRPr="0098001C">
              <w:rPr>
                <w:b/>
                <w:sz w:val="21"/>
                <w:szCs w:val="21"/>
              </w:rPr>
              <w:t>0.000,00</w:t>
            </w:r>
          </w:p>
        </w:tc>
      </w:tr>
      <w:tr w:rsidR="0098001C" w:rsidRPr="008A0A80" w14:paraId="79A30B7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788A" w14:textId="77777777" w:rsidR="0098001C" w:rsidRPr="00262ACF" w:rsidRDefault="0098001C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CEF" w14:textId="65E49AF7" w:rsidR="0098001C" w:rsidRDefault="0098001C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92AB4">
              <w:rPr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.1. Geodetski elaborat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EC2" w14:textId="6FC53E24" w:rsidR="0098001C" w:rsidRDefault="00B92AB4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 w:rsidR="0098001C">
              <w:rPr>
                <w:bCs/>
                <w:sz w:val="21"/>
                <w:szCs w:val="21"/>
              </w:rPr>
              <w:t>0.000,00</w:t>
            </w:r>
          </w:p>
        </w:tc>
      </w:tr>
      <w:tr w:rsidR="00AA05C4" w:rsidRPr="008A0A80" w14:paraId="125A4C2E" w14:textId="77777777" w:rsidTr="006D674F">
        <w:trPr>
          <w:cantSplit/>
          <w:trHeight w:val="132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D35311" w14:textId="4F8AAB83" w:rsidR="00AA05C4" w:rsidRPr="008A0A80" w:rsidRDefault="00AA05C4" w:rsidP="00020F4D">
            <w:pPr>
              <w:adjustRightInd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</w:t>
            </w:r>
          </w:p>
          <w:p w14:paraId="572DAD6F" w14:textId="542C3BD2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 -</w:t>
            </w:r>
            <w:r w:rsidRPr="003E7B80">
              <w:rPr>
                <w:bCs/>
                <w:i/>
                <w:sz w:val="21"/>
                <w:szCs w:val="21"/>
              </w:rPr>
              <w:t xml:space="preserve"> 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250.000,00 kn </w:t>
            </w:r>
            <w:r w:rsidRPr="003E7B80">
              <w:rPr>
                <w:bCs/>
                <w:i/>
                <w:sz w:val="21"/>
                <w:szCs w:val="21"/>
              </w:rPr>
              <w:t xml:space="preserve"> iz općih poreznih prihoda Proračuna</w:t>
            </w:r>
          </w:p>
          <w:p w14:paraId="0E63710A" w14:textId="720CDCBB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 xml:space="preserve">Točka 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>2</w:t>
            </w:r>
            <w:r w:rsidRPr="003E7B80">
              <w:rPr>
                <w:bCs/>
                <w:i/>
                <w:sz w:val="21"/>
                <w:szCs w:val="21"/>
              </w:rPr>
              <w:t xml:space="preserve">. 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- </w:t>
            </w:r>
            <w:r w:rsidR="00B92AB4">
              <w:rPr>
                <w:bCs/>
                <w:i/>
                <w:sz w:val="21"/>
                <w:szCs w:val="21"/>
              </w:rPr>
              <w:t>40</w:t>
            </w:r>
            <w:r w:rsidR="00473B43" w:rsidRPr="003E7B80">
              <w:rPr>
                <w:bCs/>
                <w:i/>
                <w:sz w:val="21"/>
                <w:szCs w:val="21"/>
              </w:rPr>
              <w:t>0.000,00 kn  kapitalne pomoći</w:t>
            </w:r>
          </w:p>
          <w:p w14:paraId="00D32752" w14:textId="3C6DD0F7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3. – 2</w:t>
            </w:r>
            <w:r w:rsidR="00B92AB4">
              <w:rPr>
                <w:i/>
                <w:sz w:val="21"/>
                <w:szCs w:val="21"/>
              </w:rPr>
              <w:t>5</w:t>
            </w:r>
            <w:r w:rsidRPr="003E7B80">
              <w:rPr>
                <w:i/>
                <w:sz w:val="21"/>
                <w:szCs w:val="21"/>
              </w:rPr>
              <w:t>0.000,00 kn iz općih poreznih prihoda Proračuna</w:t>
            </w:r>
          </w:p>
          <w:p w14:paraId="16BB7345" w14:textId="4DCA15FC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4. – </w:t>
            </w:r>
            <w:r w:rsidR="00081FB8">
              <w:rPr>
                <w:i/>
                <w:sz w:val="21"/>
                <w:szCs w:val="21"/>
              </w:rPr>
              <w:t>150</w:t>
            </w:r>
            <w:r w:rsidRPr="003E7B80">
              <w:rPr>
                <w:i/>
                <w:sz w:val="21"/>
                <w:szCs w:val="21"/>
              </w:rPr>
              <w:t>.000,00 kn iz općih poreznih prihoda Proračuna</w:t>
            </w:r>
          </w:p>
          <w:p w14:paraId="7D668868" w14:textId="2CDF9A77" w:rsidR="00473B43" w:rsidRPr="003E7B80" w:rsidRDefault="003E7B80" w:rsidP="00081FB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5. – </w:t>
            </w:r>
            <w:r w:rsidR="00081FB8">
              <w:rPr>
                <w:i/>
                <w:sz w:val="21"/>
                <w:szCs w:val="21"/>
              </w:rPr>
              <w:t>1.2</w:t>
            </w:r>
            <w:r w:rsidRPr="003E7B80">
              <w:rPr>
                <w:i/>
                <w:sz w:val="21"/>
                <w:szCs w:val="21"/>
              </w:rPr>
              <w:t>0</w:t>
            </w:r>
            <w:r w:rsidR="00007044">
              <w:rPr>
                <w:i/>
                <w:sz w:val="21"/>
                <w:szCs w:val="21"/>
              </w:rPr>
              <w:t>0</w:t>
            </w:r>
            <w:r w:rsidRPr="003E7B80">
              <w:rPr>
                <w:i/>
                <w:sz w:val="21"/>
                <w:szCs w:val="21"/>
              </w:rPr>
              <w:t xml:space="preserve">.000,00 kn </w:t>
            </w:r>
            <w:r w:rsidR="00081FB8">
              <w:rPr>
                <w:i/>
                <w:sz w:val="21"/>
                <w:szCs w:val="21"/>
              </w:rPr>
              <w:t>iz općih poreznih prihoda Proračuna</w:t>
            </w:r>
          </w:p>
          <w:p w14:paraId="3D16C5B5" w14:textId="2689CB4C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6. – </w:t>
            </w:r>
            <w:r w:rsidR="00081FB8">
              <w:rPr>
                <w:i/>
                <w:sz w:val="21"/>
                <w:szCs w:val="21"/>
              </w:rPr>
              <w:t>8</w:t>
            </w:r>
            <w:r w:rsidRPr="003E7B80">
              <w:rPr>
                <w:i/>
                <w:sz w:val="21"/>
                <w:szCs w:val="21"/>
              </w:rPr>
              <w:t xml:space="preserve">0.000,00 kn  </w:t>
            </w:r>
            <w:r w:rsidR="004F768A">
              <w:rPr>
                <w:i/>
                <w:sz w:val="21"/>
                <w:szCs w:val="21"/>
              </w:rPr>
              <w:t xml:space="preserve">- 30.000,00 kn iz naknada za zadržavanje nezakonito izgrađenih zgrada i 50.000,00 kuna </w:t>
            </w:r>
            <w:r w:rsidRPr="003E7B80">
              <w:rPr>
                <w:i/>
                <w:sz w:val="21"/>
                <w:szCs w:val="21"/>
              </w:rPr>
              <w:t>iz općih poreznih prihoda Proračuna</w:t>
            </w:r>
          </w:p>
          <w:p w14:paraId="136504FF" w14:textId="2C6BF973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7. – </w:t>
            </w:r>
            <w:r w:rsidR="00081FB8">
              <w:rPr>
                <w:i/>
                <w:sz w:val="21"/>
                <w:szCs w:val="21"/>
              </w:rPr>
              <w:t>35</w:t>
            </w:r>
            <w:r w:rsidRPr="003E7B80">
              <w:rPr>
                <w:i/>
                <w:sz w:val="21"/>
                <w:szCs w:val="21"/>
              </w:rPr>
              <w:t>0.000,00 kn iz općih poreznih prihoda Proračuna</w:t>
            </w:r>
          </w:p>
          <w:p w14:paraId="3229279A" w14:textId="46E34E13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8. – </w:t>
            </w:r>
            <w:r w:rsidR="00081FB8">
              <w:rPr>
                <w:i/>
                <w:sz w:val="21"/>
                <w:szCs w:val="21"/>
              </w:rPr>
              <w:t>5</w:t>
            </w:r>
            <w:r w:rsidRPr="003E7B80">
              <w:rPr>
                <w:i/>
                <w:sz w:val="21"/>
                <w:szCs w:val="21"/>
              </w:rPr>
              <w:t>0</w:t>
            </w:r>
            <w:r w:rsidR="001D2BCA">
              <w:rPr>
                <w:i/>
                <w:sz w:val="21"/>
                <w:szCs w:val="21"/>
              </w:rPr>
              <w:t>.</w:t>
            </w:r>
            <w:r w:rsidRPr="003E7B80">
              <w:rPr>
                <w:i/>
                <w:sz w:val="21"/>
                <w:szCs w:val="21"/>
              </w:rPr>
              <w:t>000,00 kn iz općih poreznih prihoda Proračuna</w:t>
            </w:r>
          </w:p>
          <w:p w14:paraId="17F44DD3" w14:textId="6875BB31" w:rsidR="00AA05C4" w:rsidRDefault="00AA05C4" w:rsidP="00B92AB4">
            <w:pPr>
              <w:adjustRightInd w:val="0"/>
              <w:spacing w:before="100" w:beforeAutospacing="1" w:after="100" w:afterAutospacing="1"/>
              <w:ind w:left="720"/>
              <w:jc w:val="both"/>
              <w:rPr>
                <w:sz w:val="21"/>
                <w:szCs w:val="21"/>
              </w:rPr>
            </w:pPr>
          </w:p>
        </w:tc>
      </w:tr>
    </w:tbl>
    <w:p w14:paraId="22A9B141" w14:textId="77777777" w:rsidR="00DC408E" w:rsidRDefault="00DC408E" w:rsidP="000163B0">
      <w:pPr>
        <w:rPr>
          <w:b/>
          <w:bCs/>
          <w:sz w:val="22"/>
          <w:szCs w:val="22"/>
        </w:rPr>
      </w:pPr>
    </w:p>
    <w:p w14:paraId="6301DE15" w14:textId="77777777" w:rsidR="00F30CD7" w:rsidRPr="008A0A80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8A0A80">
        <w:rPr>
          <w:b/>
          <w:bCs/>
          <w:sz w:val="22"/>
          <w:szCs w:val="22"/>
        </w:rPr>
        <w:t>JAVNA RASVJETA</w:t>
      </w:r>
    </w:p>
    <w:p w14:paraId="59B1B2CE" w14:textId="77777777" w:rsidR="00704EEE" w:rsidRDefault="00704EEE" w:rsidP="00F30CD7">
      <w:pPr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11256740" w14:textId="77777777" w:rsidR="00F30CD7" w:rsidRPr="008A0A80" w:rsidRDefault="00425C45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b/>
          <w:bCs/>
          <w:sz w:val="22"/>
          <w:szCs w:val="22"/>
        </w:rPr>
        <w:t>3</w:t>
      </w:r>
      <w:r w:rsidR="00F30CD7" w:rsidRPr="008A0A80">
        <w:rPr>
          <w:b/>
          <w:bCs/>
          <w:sz w:val="22"/>
          <w:szCs w:val="22"/>
        </w:rPr>
        <w:t xml:space="preserve">.1. </w:t>
      </w:r>
      <w:r w:rsidR="00F30CD7" w:rsidRPr="008A0A80">
        <w:rPr>
          <w:sz w:val="22"/>
          <w:szCs w:val="22"/>
        </w:rPr>
        <w:t xml:space="preserve">Pod javnom rasvjetom podrazumijevaju se objekti i uređaji za rasvjetljavanje javnih površina, </w:t>
      </w:r>
      <w:r w:rsidR="006A7C3A" w:rsidRPr="008A0A80">
        <w:rPr>
          <w:sz w:val="22"/>
          <w:szCs w:val="22"/>
        </w:rPr>
        <w:t>te javnih i nerazvrstanih cesta, kao i stvaranje preduvjeta za njihovo funkcioniranje</w:t>
      </w:r>
      <w:r w:rsidR="00F30CD7" w:rsidRPr="008A0A80">
        <w:rPr>
          <w:sz w:val="22"/>
          <w:szCs w:val="22"/>
        </w:rPr>
        <w:t>, a u nastavku se daje opis poslova s procjenom troškova gra</w:t>
      </w:r>
      <w:r w:rsidR="00064331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>pojedinih objekata i uređaja javne rasvjete, sa iskazanim izvorom financiranja za komunalnu djelatnost:</w:t>
      </w:r>
    </w:p>
    <w:p w14:paraId="62F6B0A1" w14:textId="77777777" w:rsidR="00A10928" w:rsidRDefault="00A10928" w:rsidP="00A10928">
      <w:pPr>
        <w:adjustRightInd w:val="0"/>
        <w:jc w:val="both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1560"/>
      </w:tblGrid>
      <w:tr w:rsidR="0021552B" w:rsidRPr="009143F9" w14:paraId="2300CA72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434" w14:textId="1170D900" w:rsidR="0021552B" w:rsidRPr="009143F9" w:rsidRDefault="00D46DC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B0A" w14:textId="697E2234" w:rsidR="0021552B" w:rsidRPr="009143F9" w:rsidRDefault="0021552B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D5A" w14:textId="6B4EC785" w:rsidR="0021552B" w:rsidRPr="009143F9" w:rsidRDefault="0021552B" w:rsidP="001E758F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</w:t>
            </w:r>
            <w:r w:rsidR="005136B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21552B" w:rsidRPr="009143F9" w14:paraId="39B0DD0F" w14:textId="77777777" w:rsidTr="008E50ED">
        <w:trPr>
          <w:cantSplit/>
          <w:trHeight w:val="44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C74" w14:textId="53F4F42A" w:rsidR="0021552B" w:rsidRPr="00F66B5E" w:rsidRDefault="0021552B" w:rsidP="0021552B">
            <w:pPr>
              <w:pStyle w:val="Odlomakpopisa"/>
              <w:adjustRightInd w:val="0"/>
              <w:ind w:left="2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490" w14:textId="6D0A28A4" w:rsidR="0021552B" w:rsidRDefault="00AE3C77" w:rsidP="00967D32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100.000,00</w:t>
            </w:r>
          </w:p>
        </w:tc>
      </w:tr>
      <w:tr w:rsidR="002F70B4" w:rsidRPr="008A0A80" w14:paraId="461B0F6C" w14:textId="77777777" w:rsidTr="00E52458">
        <w:trPr>
          <w:cantSplit/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F3CE" w14:textId="0CB3BB44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253FA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  <w:p w14:paraId="51F0EC60" w14:textId="1D8DA863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BAF" w14:textId="6C6D1897" w:rsidR="002F70B4" w:rsidRDefault="002F70B4" w:rsidP="001C4B82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1. Modernizacija javne rasvjete na području Općine Maruševec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3453" w14:textId="6DE20E19" w:rsidR="002F70B4" w:rsidRPr="0077593B" w:rsidRDefault="00AE3C77" w:rsidP="001C4B82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2F70B4">
              <w:rPr>
                <w:b/>
                <w:sz w:val="21"/>
                <w:szCs w:val="21"/>
              </w:rPr>
              <w:t>0.000,00</w:t>
            </w:r>
          </w:p>
        </w:tc>
      </w:tr>
      <w:tr w:rsidR="002F70B4" w:rsidRPr="008A0A80" w14:paraId="7F5DBED4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0DAC" w14:textId="01BDE55E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FB7" w14:textId="22A9102B" w:rsidR="002F70B4" w:rsidRDefault="002F70B4" w:rsidP="001C4B82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6BE9" w14:textId="05CAEC57" w:rsidR="002F70B4" w:rsidRDefault="00AE3C77" w:rsidP="001C4B82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F70B4">
              <w:rPr>
                <w:sz w:val="21"/>
                <w:szCs w:val="21"/>
              </w:rPr>
              <w:t>.000,00</w:t>
            </w:r>
          </w:p>
        </w:tc>
      </w:tr>
      <w:tr w:rsidR="002F70B4" w:rsidRPr="00E96B85" w14:paraId="736F8F19" w14:textId="77777777" w:rsidTr="00E52458">
        <w:trPr>
          <w:cantSplit/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1EA4" w14:textId="530F3C72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681" w14:textId="64E5E4CB" w:rsidR="002F70B4" w:rsidRPr="00A320C6" w:rsidRDefault="002F70B4" w:rsidP="00731D29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1.2. Radovi modernizacije javne rasvjete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13DA" w14:textId="6D93BEBA" w:rsidR="002F70B4" w:rsidRPr="002F70B4" w:rsidRDefault="00AE3C77" w:rsidP="001B4BC7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="002F70B4">
              <w:rPr>
                <w:bCs/>
                <w:sz w:val="21"/>
                <w:szCs w:val="21"/>
              </w:rPr>
              <w:t>0.000,00</w:t>
            </w:r>
          </w:p>
        </w:tc>
      </w:tr>
      <w:tr w:rsidR="002F70B4" w:rsidRPr="008A0A80" w14:paraId="22B4BE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6824" w14:textId="77777777" w:rsidR="002F70B4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AA6B" w14:textId="4E2826AA" w:rsidR="002F70B4" w:rsidRPr="00A80717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1.3. Nadzor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99EC" w14:textId="2255DD56" w:rsidR="002F70B4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</w:tr>
      <w:tr w:rsidR="0021552B" w:rsidRPr="008A0A80" w14:paraId="735F76F7" w14:textId="77777777" w:rsidTr="008E50ED">
        <w:trPr>
          <w:cantSplit/>
          <w:trHeight w:val="132"/>
          <w:jc w:val="center"/>
        </w:trPr>
        <w:tc>
          <w:tcPr>
            <w:tcW w:w="94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F9AD85" w14:textId="5FD9F276" w:rsidR="0021552B" w:rsidRPr="008A0A80" w:rsidRDefault="0021552B" w:rsidP="00AD796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278285F5" w14:textId="66C5C14C" w:rsidR="0021552B" w:rsidRPr="009E033C" w:rsidRDefault="0021552B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</w:t>
            </w:r>
            <w:r w:rsidR="002F70B4" w:rsidRPr="009E033C">
              <w:rPr>
                <w:bCs/>
                <w:i/>
                <w:sz w:val="21"/>
                <w:szCs w:val="21"/>
              </w:rPr>
              <w:t>1</w:t>
            </w:r>
            <w:r w:rsidR="003E7B80" w:rsidRPr="009E033C">
              <w:rPr>
                <w:bCs/>
                <w:i/>
                <w:sz w:val="21"/>
                <w:szCs w:val="21"/>
              </w:rPr>
              <w:t xml:space="preserve">.1. - </w:t>
            </w:r>
            <w:r w:rsidRPr="009E033C">
              <w:rPr>
                <w:bCs/>
                <w:i/>
                <w:sz w:val="21"/>
                <w:szCs w:val="21"/>
              </w:rPr>
              <w:t xml:space="preserve"> </w:t>
            </w:r>
            <w:r w:rsidR="00AE3C77">
              <w:rPr>
                <w:bCs/>
                <w:i/>
                <w:sz w:val="21"/>
                <w:szCs w:val="21"/>
              </w:rPr>
              <w:t>1</w:t>
            </w:r>
            <w:r w:rsidRPr="009E033C">
              <w:rPr>
                <w:bCs/>
                <w:i/>
                <w:sz w:val="21"/>
                <w:szCs w:val="21"/>
              </w:rPr>
              <w:t>0.000,00 kn iz općih poreznih prihoda Proračuna</w:t>
            </w:r>
          </w:p>
          <w:p w14:paraId="1E621B73" w14:textId="26054A27" w:rsidR="003E7B80" w:rsidRPr="009E033C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>Točka 1.</w:t>
            </w:r>
            <w:r w:rsidRPr="009E033C">
              <w:rPr>
                <w:i/>
                <w:sz w:val="21"/>
                <w:szCs w:val="21"/>
              </w:rPr>
              <w:t xml:space="preserve">2.  - kapitalne pomoći </w:t>
            </w:r>
            <w:r w:rsidR="00AE3C77">
              <w:rPr>
                <w:i/>
                <w:sz w:val="21"/>
                <w:szCs w:val="21"/>
              </w:rPr>
              <w:t>5</w:t>
            </w:r>
            <w:r w:rsidRPr="009E033C">
              <w:rPr>
                <w:i/>
                <w:sz w:val="21"/>
                <w:szCs w:val="21"/>
              </w:rPr>
              <w:t>0.000,00 kn  i 30.000,00 kn iz općih poreznih prihoda Proračuna</w:t>
            </w:r>
          </w:p>
          <w:p w14:paraId="5559DC26" w14:textId="5A373E9D" w:rsidR="0021552B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1.3.  – 10.000,00 kn iz 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opći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porezni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prihod</w:t>
            </w:r>
            <w:r w:rsidRPr="009E033C">
              <w:rPr>
                <w:bCs/>
                <w:i/>
                <w:sz w:val="21"/>
                <w:szCs w:val="21"/>
              </w:rPr>
              <w:t>a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3063E7C7" w14:textId="77777777" w:rsidR="007315F4" w:rsidRPr="00647028" w:rsidRDefault="007315F4" w:rsidP="00647028">
      <w:pPr>
        <w:adjustRightInd w:val="0"/>
        <w:rPr>
          <w:b/>
          <w:bCs/>
          <w:sz w:val="22"/>
          <w:szCs w:val="22"/>
        </w:rPr>
      </w:pPr>
    </w:p>
    <w:p w14:paraId="78C8593D" w14:textId="77777777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5F7E2D9B" w14:textId="77777777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05B1E22E" w14:textId="3CBB1452" w:rsidR="00BB589D" w:rsidRPr="00BB589D" w:rsidRDefault="002D2C13" w:rsidP="00BB589D">
      <w:pPr>
        <w:adjustRightInd w:val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BB589D">
        <w:rPr>
          <w:b/>
          <w:bCs/>
          <w:sz w:val="22"/>
          <w:szCs w:val="22"/>
        </w:rPr>
        <w:t>.  GROBLJA</w:t>
      </w:r>
    </w:p>
    <w:p w14:paraId="143EB5F0" w14:textId="77777777" w:rsidR="00BB589D" w:rsidRPr="00CF3F4F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44D666A5" w14:textId="6616E90E" w:rsidR="00BB589D" w:rsidRPr="00BB589D" w:rsidRDefault="00BB589D" w:rsidP="00116351">
      <w:pPr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2D2C1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.1. </w:t>
      </w:r>
      <w:r w:rsidR="00116351">
        <w:rPr>
          <w:bCs/>
          <w:sz w:val="22"/>
          <w:szCs w:val="22"/>
        </w:rPr>
        <w:t>Groblja su ograđeni prostori zemljišta na kojima se nalaze grobna mjesta, prostori i zgrade za obavljanje ispraćaja i pokopa umrlih, pješačke staze, te uređaji, predmeti i oprema na površinama groblja, sukladno posebnim propisima o grobljima.</w:t>
      </w:r>
    </w:p>
    <w:p w14:paraId="07AF2E20" w14:textId="28A2B68B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BB589D" w:rsidRPr="009143F9" w14:paraId="458670CA" w14:textId="77777777" w:rsidTr="00204290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437" w14:textId="77777777" w:rsidR="00BB589D" w:rsidRPr="009143F9" w:rsidRDefault="00BB589D" w:rsidP="00204290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D2B" w14:textId="77777777" w:rsidR="00BB589D" w:rsidRPr="009143F9" w:rsidRDefault="00BB589D" w:rsidP="00204290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6A3" w14:textId="11EFD8DC" w:rsidR="00BB589D" w:rsidRPr="009143F9" w:rsidRDefault="00BB589D" w:rsidP="00204290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</w:t>
            </w:r>
            <w:r w:rsidR="005136B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B589D" w:rsidRPr="002E3CB2" w14:paraId="1C8372BD" w14:textId="77777777" w:rsidTr="00204290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A5A" w14:textId="5D5AABE6" w:rsidR="00BB589D" w:rsidRPr="00F66B5E" w:rsidRDefault="002D2C13" w:rsidP="00204290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GROBLJA – GRADNJA I UREĐENJE GROBLJA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7C9" w14:textId="78C86134" w:rsidR="00BB589D" w:rsidRPr="002E3CB2" w:rsidRDefault="001D6ED6" w:rsidP="00204290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1.00</w:t>
            </w:r>
            <w:r w:rsidR="00BB589D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BB589D" w:rsidRPr="002E3CB2" w14:paraId="063AAFDD" w14:textId="77777777" w:rsidTr="00204290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57288" w14:textId="5343D7B5" w:rsidR="00BB589D" w:rsidRDefault="00BB589D" w:rsidP="00204290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2637E1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</w:t>
            </w:r>
          </w:p>
          <w:p w14:paraId="0C97BC40" w14:textId="77777777" w:rsidR="00BB589D" w:rsidRDefault="00BB589D" w:rsidP="00204290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AC02" w14:textId="5217DC1A" w:rsidR="00BB589D" w:rsidRDefault="001D6ED6" w:rsidP="00204290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Proširenje i uređenje groblja u Maruševcu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8A83" w14:textId="3B436792" w:rsidR="00BB589D" w:rsidRPr="002E3CB2" w:rsidRDefault="001D6ED6" w:rsidP="00204290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1.0</w:t>
            </w:r>
            <w:r w:rsidR="00BB589D">
              <w:rPr>
                <w:b/>
                <w:sz w:val="21"/>
                <w:szCs w:val="21"/>
              </w:rPr>
              <w:t>00.</w:t>
            </w:r>
            <w:r w:rsidR="00BB589D" w:rsidRPr="002E3CB2">
              <w:rPr>
                <w:b/>
                <w:sz w:val="21"/>
                <w:szCs w:val="21"/>
              </w:rPr>
              <w:t>000,00</w:t>
            </w:r>
          </w:p>
        </w:tc>
      </w:tr>
      <w:tr w:rsidR="00BB589D" w:rsidRPr="002E3CB2" w14:paraId="62215C7A" w14:textId="77777777" w:rsidTr="00204290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976E6" w14:textId="77777777" w:rsidR="00BB589D" w:rsidRDefault="00BB589D" w:rsidP="00204290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F38" w14:textId="3259FB37" w:rsidR="00BB589D" w:rsidRDefault="00BB589D" w:rsidP="00204290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="001D6ED6">
              <w:rPr>
                <w:sz w:val="21"/>
                <w:szCs w:val="21"/>
              </w:rPr>
              <w:t>Radovi na proširenju groblja u Maruševcu</w:t>
            </w:r>
            <w:r w:rsidR="00944C79">
              <w:rPr>
                <w:sz w:val="21"/>
                <w:szCs w:val="21"/>
              </w:rPr>
              <w:t xml:space="preserve"> (I. faza)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BA85" w14:textId="41F5FC2E" w:rsidR="00BB589D" w:rsidRPr="002E3CB2" w:rsidRDefault="00944C79" w:rsidP="00204290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890</w:t>
            </w:r>
            <w:r w:rsidR="00BB589D" w:rsidRPr="002E3CB2">
              <w:rPr>
                <w:sz w:val="21"/>
                <w:szCs w:val="21"/>
              </w:rPr>
              <w:t>.000,00</w:t>
            </w:r>
          </w:p>
        </w:tc>
      </w:tr>
      <w:tr w:rsidR="00BB589D" w:rsidRPr="00F230D3" w14:paraId="6803E622" w14:textId="77777777" w:rsidTr="00204290">
        <w:trPr>
          <w:cantSplit/>
          <w:trHeight w:val="35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9E32" w14:textId="77777777" w:rsidR="00BB589D" w:rsidRPr="00C31498" w:rsidRDefault="00BB589D" w:rsidP="00204290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F4AA" w14:textId="66C15E1A" w:rsidR="00BB589D" w:rsidRPr="00C31498" w:rsidRDefault="00BB589D" w:rsidP="001D6ED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1.2. </w:t>
            </w:r>
            <w:r w:rsidR="001D6ED6">
              <w:rPr>
                <w:sz w:val="21"/>
                <w:szCs w:val="21"/>
              </w:rPr>
              <w:t>Projektna dokumentacija za proširenje groblja u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15CC" w14:textId="54A3AA66" w:rsidR="00BB589D" w:rsidRPr="00F230D3" w:rsidRDefault="001D6ED6" w:rsidP="00204290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87</w:t>
            </w:r>
            <w:r w:rsidR="00BB589D" w:rsidRPr="00F230D3">
              <w:rPr>
                <w:bCs/>
                <w:sz w:val="21"/>
                <w:szCs w:val="21"/>
              </w:rPr>
              <w:t>.000,00</w:t>
            </w:r>
          </w:p>
        </w:tc>
      </w:tr>
      <w:tr w:rsidR="00BB589D" w:rsidRPr="002E3CB2" w14:paraId="12236E7A" w14:textId="77777777" w:rsidTr="00204290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9AF0" w14:textId="77777777" w:rsidR="00BB589D" w:rsidRDefault="00BB589D" w:rsidP="0020429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0B63" w14:textId="75B25871" w:rsidR="00BB589D" w:rsidRDefault="00BB589D" w:rsidP="001D6ED6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1.3. Usluga stručnog nadzora provedbe projekta </w:t>
            </w:r>
            <w:r w:rsidR="001D6ED6">
              <w:rPr>
                <w:bCs/>
                <w:sz w:val="21"/>
                <w:szCs w:val="21"/>
              </w:rPr>
              <w:t>proširenja groblja u Maruševcu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47BCD1" w14:textId="12157D01" w:rsidR="00BB589D" w:rsidRPr="002E3CB2" w:rsidRDefault="00944C79" w:rsidP="00204290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23.00</w:t>
            </w:r>
            <w:r w:rsidR="00BB589D" w:rsidRPr="002E3CB2">
              <w:rPr>
                <w:sz w:val="21"/>
                <w:szCs w:val="21"/>
              </w:rPr>
              <w:t>0,00</w:t>
            </w:r>
          </w:p>
        </w:tc>
      </w:tr>
      <w:tr w:rsidR="00BB589D" w:rsidRPr="00551E3B" w14:paraId="1EBC620A" w14:textId="77777777" w:rsidTr="00204290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84DA19" w14:textId="77777777" w:rsidR="00BB589D" w:rsidRPr="00AD796D" w:rsidRDefault="00BB589D" w:rsidP="00204290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7F6FC90A" w14:textId="154C857E" w:rsidR="00944C79" w:rsidRPr="009E033C" w:rsidRDefault="00944C79" w:rsidP="00944C79">
            <w:pPr>
              <w:adjustRightInd w:val="0"/>
              <w:ind w:left="72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1.1. -  </w:t>
            </w:r>
            <w:r>
              <w:rPr>
                <w:bCs/>
                <w:i/>
                <w:sz w:val="21"/>
                <w:szCs w:val="21"/>
              </w:rPr>
              <w:t>890</w:t>
            </w:r>
            <w:r w:rsidRPr="009E033C">
              <w:rPr>
                <w:bCs/>
                <w:i/>
                <w:sz w:val="21"/>
                <w:szCs w:val="21"/>
              </w:rPr>
              <w:t xml:space="preserve">.000,00 kn iz </w:t>
            </w:r>
            <w:r>
              <w:rPr>
                <w:bCs/>
                <w:i/>
                <w:sz w:val="21"/>
                <w:szCs w:val="21"/>
              </w:rPr>
              <w:t>Ministarstvo regionalnog razvoja i Fondova EU</w:t>
            </w:r>
          </w:p>
          <w:p w14:paraId="7E80935E" w14:textId="7E5D5F1F" w:rsidR="00944C79" w:rsidRPr="009E033C" w:rsidRDefault="00944C79" w:rsidP="00944C79">
            <w:pPr>
              <w:adjustRightInd w:val="0"/>
              <w:ind w:left="72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>Točka 1.</w:t>
            </w:r>
            <w:r w:rsidRPr="009E033C">
              <w:rPr>
                <w:i/>
                <w:sz w:val="21"/>
                <w:szCs w:val="21"/>
              </w:rPr>
              <w:t xml:space="preserve">2.  </w:t>
            </w:r>
            <w:r>
              <w:rPr>
                <w:i/>
                <w:sz w:val="21"/>
                <w:szCs w:val="21"/>
              </w:rPr>
              <w:t>–</w:t>
            </w:r>
            <w:r w:rsidRPr="009E033C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87.000,00 kn iz općih poreznih prihoda Proračuna</w:t>
            </w:r>
          </w:p>
          <w:p w14:paraId="47C9AB45" w14:textId="7627EA82" w:rsidR="00BB589D" w:rsidRPr="00551E3B" w:rsidRDefault="00944C79" w:rsidP="00944C79">
            <w:pPr>
              <w:adjustRightInd w:val="0"/>
              <w:ind w:left="720"/>
              <w:jc w:val="both"/>
              <w:rPr>
                <w:bCs/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1.3.  – </w:t>
            </w:r>
            <w:r>
              <w:rPr>
                <w:bCs/>
                <w:i/>
                <w:sz w:val="21"/>
                <w:szCs w:val="21"/>
              </w:rPr>
              <w:t>23</w:t>
            </w:r>
            <w:r w:rsidRPr="009E033C">
              <w:rPr>
                <w:bCs/>
                <w:i/>
                <w:sz w:val="21"/>
                <w:szCs w:val="21"/>
              </w:rPr>
              <w:t xml:space="preserve">.000,00 kn iz  </w:t>
            </w:r>
            <w:r>
              <w:rPr>
                <w:bCs/>
                <w:i/>
                <w:sz w:val="21"/>
                <w:szCs w:val="21"/>
              </w:rPr>
              <w:t>Ministarstvo regionalnog razvoja i Fondova EU</w:t>
            </w:r>
          </w:p>
        </w:tc>
      </w:tr>
    </w:tbl>
    <w:p w14:paraId="0541B8DC" w14:textId="455D728A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2CFFEED4" w14:textId="7179F48F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6EA7FEF8" w14:textId="77777777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3925D3DA" w14:textId="77777777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719BEBCC" w14:textId="77777777" w:rsid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</w:p>
    <w:p w14:paraId="03BF957D" w14:textId="7B3D16AD" w:rsidR="00F30CD7" w:rsidRPr="00BB589D" w:rsidRDefault="00BB589D" w:rsidP="00BB589D">
      <w:pPr>
        <w:adjustRightInd w:val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CF3F4F" w:rsidRPr="00BB589D">
        <w:rPr>
          <w:b/>
          <w:bCs/>
          <w:sz w:val="22"/>
          <w:szCs w:val="22"/>
        </w:rPr>
        <w:t>PROGRAM GRADNJE GRAĐEVINA ZA GOSPODARENJE KOMUNALNIM OTPADOM</w:t>
      </w:r>
    </w:p>
    <w:p w14:paraId="67D687DE" w14:textId="77777777" w:rsidR="00CF3F4F" w:rsidRPr="00CF3F4F" w:rsidRDefault="00CF3F4F" w:rsidP="00CF3F4F">
      <w:pPr>
        <w:adjustRightInd w:val="0"/>
        <w:ind w:left="360"/>
        <w:rPr>
          <w:b/>
          <w:bCs/>
          <w:sz w:val="22"/>
          <w:szCs w:val="22"/>
        </w:rPr>
      </w:pPr>
    </w:p>
    <w:p w14:paraId="3BBBD12F" w14:textId="562F7836" w:rsidR="00BB589D" w:rsidRDefault="00BB589D" w:rsidP="00BB589D">
      <w:pPr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11635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.1. </w:t>
      </w:r>
      <w:r w:rsidR="00F30CD7" w:rsidRPr="00BB589D">
        <w:rPr>
          <w:bCs/>
          <w:sz w:val="22"/>
          <w:szCs w:val="22"/>
        </w:rPr>
        <w:t>P</w:t>
      </w:r>
      <w:r w:rsidR="00A4646D" w:rsidRPr="00BB589D">
        <w:rPr>
          <w:bCs/>
          <w:sz w:val="22"/>
          <w:szCs w:val="22"/>
        </w:rPr>
        <w:t>rogramom</w:t>
      </w:r>
      <w:r w:rsidR="00F30CD7" w:rsidRPr="00BB589D">
        <w:rPr>
          <w:bCs/>
          <w:sz w:val="22"/>
          <w:szCs w:val="22"/>
        </w:rPr>
        <w:t xml:space="preserve"> g</w:t>
      </w:r>
      <w:r w:rsidR="00F30CD7" w:rsidRPr="00BB589D">
        <w:rPr>
          <w:sz w:val="22"/>
          <w:szCs w:val="22"/>
        </w:rPr>
        <w:t>radnj</w:t>
      </w:r>
      <w:r w:rsidR="00A4646D" w:rsidRPr="00BB589D">
        <w:rPr>
          <w:sz w:val="22"/>
          <w:szCs w:val="22"/>
        </w:rPr>
        <w:t>e</w:t>
      </w:r>
      <w:r w:rsidR="001B4BC7" w:rsidRPr="00BB589D">
        <w:rPr>
          <w:sz w:val="22"/>
          <w:szCs w:val="22"/>
        </w:rPr>
        <w:t xml:space="preserve"> </w:t>
      </w:r>
      <w:r w:rsidR="00A4646D" w:rsidRPr="00BB589D">
        <w:rPr>
          <w:sz w:val="22"/>
          <w:szCs w:val="22"/>
        </w:rPr>
        <w:t xml:space="preserve">građevina za gospodarenje </w:t>
      </w:r>
      <w:r w:rsidR="00F30CD7" w:rsidRPr="00BB589D">
        <w:rPr>
          <w:sz w:val="22"/>
          <w:szCs w:val="22"/>
        </w:rPr>
        <w:t>komunaln</w:t>
      </w:r>
      <w:r w:rsidR="00A4646D" w:rsidRPr="00BB589D">
        <w:rPr>
          <w:sz w:val="22"/>
          <w:szCs w:val="22"/>
        </w:rPr>
        <w:t>im</w:t>
      </w:r>
      <w:r w:rsidR="00F30CD7" w:rsidRPr="00BB589D">
        <w:rPr>
          <w:sz w:val="22"/>
          <w:szCs w:val="22"/>
        </w:rPr>
        <w:t xml:space="preserve"> otpad</w:t>
      </w:r>
      <w:r w:rsidR="00A4646D" w:rsidRPr="00BB589D">
        <w:rPr>
          <w:sz w:val="22"/>
          <w:szCs w:val="22"/>
        </w:rPr>
        <w:t>om</w:t>
      </w:r>
      <w:r w:rsidR="00D42DE4" w:rsidRPr="00BB589D">
        <w:rPr>
          <w:sz w:val="22"/>
          <w:szCs w:val="22"/>
        </w:rPr>
        <w:t xml:space="preserve"> </w:t>
      </w:r>
      <w:r w:rsidR="00F30CD7" w:rsidRPr="00BB589D">
        <w:rPr>
          <w:bCs/>
          <w:sz w:val="22"/>
          <w:szCs w:val="22"/>
        </w:rPr>
        <w:t>p</w:t>
      </w:r>
      <w:r w:rsidR="00A4646D" w:rsidRPr="00BB589D">
        <w:rPr>
          <w:bCs/>
          <w:sz w:val="22"/>
          <w:szCs w:val="22"/>
        </w:rPr>
        <w:t>redviđen</w:t>
      </w:r>
      <w:r w:rsidR="00235897" w:rsidRPr="00BB589D">
        <w:rPr>
          <w:bCs/>
          <w:sz w:val="22"/>
          <w:szCs w:val="22"/>
        </w:rPr>
        <w:t>o</w:t>
      </w:r>
      <w:r w:rsidR="00A4646D" w:rsidRPr="00BB589D">
        <w:rPr>
          <w:bCs/>
          <w:sz w:val="22"/>
          <w:szCs w:val="22"/>
        </w:rPr>
        <w:t xml:space="preserve"> je </w:t>
      </w:r>
      <w:r w:rsidR="0063572C" w:rsidRPr="00BB589D">
        <w:rPr>
          <w:bCs/>
          <w:sz w:val="22"/>
          <w:szCs w:val="22"/>
        </w:rPr>
        <w:t>gra</w:t>
      </w:r>
      <w:r w:rsidR="006C7E0F" w:rsidRPr="00BB589D">
        <w:rPr>
          <w:bCs/>
          <w:sz w:val="22"/>
          <w:szCs w:val="22"/>
        </w:rPr>
        <w:t xml:space="preserve">đenje </w:t>
      </w:r>
      <w:r w:rsidR="0063572C" w:rsidRPr="00BB589D">
        <w:rPr>
          <w:sz w:val="22"/>
          <w:szCs w:val="22"/>
        </w:rPr>
        <w:t xml:space="preserve">objekata i </w:t>
      </w:r>
    </w:p>
    <w:p w14:paraId="4CA9466C" w14:textId="77777777" w:rsidR="00BB589D" w:rsidRDefault="00BB589D" w:rsidP="00BB589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3572C" w:rsidRPr="00BB589D">
        <w:rPr>
          <w:sz w:val="22"/>
          <w:szCs w:val="22"/>
        </w:rPr>
        <w:t xml:space="preserve">nabava opreme za gospodarenje komunalnim otpadom, </w:t>
      </w:r>
      <w:r w:rsidR="00F30CD7" w:rsidRPr="00BB589D">
        <w:rPr>
          <w:sz w:val="22"/>
          <w:szCs w:val="22"/>
        </w:rPr>
        <w:t xml:space="preserve">a u nastavku daje </w:t>
      </w:r>
      <w:r w:rsidR="0063572C" w:rsidRPr="00BB589D">
        <w:rPr>
          <w:sz w:val="22"/>
          <w:szCs w:val="22"/>
        </w:rPr>
        <w:t>se opis poslova s procjenom</w:t>
      </w:r>
    </w:p>
    <w:p w14:paraId="16776BFC" w14:textId="77777777" w:rsidR="00BB589D" w:rsidRDefault="00BB589D" w:rsidP="00BB589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3572C" w:rsidRPr="00BB589D">
        <w:rPr>
          <w:sz w:val="22"/>
          <w:szCs w:val="22"/>
        </w:rPr>
        <w:t xml:space="preserve"> troškova gradnje pojedinih građevina za gospodarenje komunalnim otpadom i nabave opreme, sa iskazanim </w:t>
      </w:r>
    </w:p>
    <w:p w14:paraId="2C2736FA" w14:textId="2FA0B9DF" w:rsidR="00824E81" w:rsidRPr="00BB589D" w:rsidRDefault="00BB589D" w:rsidP="00BB589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3572C" w:rsidRPr="00BB589D">
        <w:rPr>
          <w:sz w:val="22"/>
          <w:szCs w:val="22"/>
        </w:rPr>
        <w:t>izvorom financiranja za komunalnu djelatnost</w:t>
      </w:r>
      <w:r w:rsidR="00F30CD7" w:rsidRPr="00BB589D">
        <w:rPr>
          <w:sz w:val="22"/>
          <w:szCs w:val="22"/>
        </w:rPr>
        <w:t>:</w:t>
      </w:r>
    </w:p>
    <w:p w14:paraId="0B09E52B" w14:textId="77777777" w:rsidR="00117F71" w:rsidRPr="00117F71" w:rsidRDefault="00117F71" w:rsidP="00117F71">
      <w:pPr>
        <w:adjustRightInd w:val="0"/>
        <w:jc w:val="both"/>
        <w:rPr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117F71" w:rsidRPr="009143F9" w14:paraId="2B0A179E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2FF" w14:textId="5241E28B" w:rsidR="00117F71" w:rsidRPr="009143F9" w:rsidRDefault="00E5245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bookmarkStart w:id="0" w:name="_Hlk89424106"/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DACD" w14:textId="3A32F0B0" w:rsidR="00117F71" w:rsidRPr="009143F9" w:rsidRDefault="00117F71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D56" w14:textId="1195F4F6" w:rsidR="00117F71" w:rsidRPr="009143F9" w:rsidRDefault="00117F71" w:rsidP="00495095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</w:t>
            </w:r>
            <w:r w:rsidR="005136B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17F71" w:rsidRPr="009143F9" w14:paraId="05301176" w14:textId="77777777" w:rsidTr="00953DDD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70A" w14:textId="24A4F048" w:rsidR="00117F71" w:rsidRPr="00F66B5E" w:rsidRDefault="00117F71" w:rsidP="00117F71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GRADNJA</w:t>
            </w:r>
            <w:r w:rsidRPr="001E3EEB">
              <w:rPr>
                <w:b/>
                <w:bCs/>
                <w:sz w:val="21"/>
                <w:szCs w:val="21"/>
              </w:rPr>
              <w:t xml:space="preserve"> GRAĐEVINA </w:t>
            </w:r>
            <w:r>
              <w:rPr>
                <w:b/>
                <w:bCs/>
                <w:sz w:val="21"/>
                <w:szCs w:val="21"/>
              </w:rPr>
              <w:t xml:space="preserve">I NABAVA OPREME ZA </w:t>
            </w:r>
            <w:r w:rsidRPr="001E3EEB">
              <w:rPr>
                <w:b/>
                <w:bCs/>
                <w:sz w:val="21"/>
                <w:szCs w:val="21"/>
              </w:rPr>
              <w:t>GOSPODARENJE KOMUNALNIM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EC7" w14:textId="086DE00E" w:rsidR="00117F71" w:rsidRPr="002E3CB2" w:rsidRDefault="00007044" w:rsidP="00B65887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3.327.740,00</w:t>
            </w:r>
          </w:p>
        </w:tc>
      </w:tr>
      <w:tr w:rsidR="00F230D3" w:rsidRPr="00E96B85" w14:paraId="6A9F5470" w14:textId="77777777" w:rsidTr="00E52458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C5905" w14:textId="77777777" w:rsidR="00F230D3" w:rsidRDefault="00F230D3" w:rsidP="00571910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3.</w:t>
            </w:r>
          </w:p>
          <w:p w14:paraId="6261FAFC" w14:textId="62BF8855" w:rsidR="00F230D3" w:rsidRDefault="00F230D3" w:rsidP="00571910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531" w14:textId="5CEFF0CC" w:rsidR="00F230D3" w:rsidRDefault="00F230D3" w:rsidP="008068B6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>
              <w:rPr>
                <w:sz w:val="21"/>
                <w:szCs w:val="21"/>
              </w:rPr>
              <w:t>Izvođenje radova izgradnje reciklažnog dvorišta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2A8E" w14:textId="7CA828E7" w:rsidR="00F230D3" w:rsidRPr="002E3CB2" w:rsidRDefault="00007044" w:rsidP="00EA0C2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3.327.740,00</w:t>
            </w:r>
          </w:p>
        </w:tc>
      </w:tr>
      <w:tr w:rsidR="00F230D3" w:rsidRPr="008A0A80" w14:paraId="6C2FAC4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DDBA" w14:textId="69A9422B" w:rsidR="00F230D3" w:rsidRDefault="00F230D3" w:rsidP="00571910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3822" w14:textId="0214FDA3" w:rsidR="00F230D3" w:rsidRDefault="00F230D3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Gradnja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5C52" w14:textId="37B903C9" w:rsidR="00F230D3" w:rsidRPr="002E3CB2" w:rsidRDefault="00F230D3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2.930</w:t>
            </w:r>
            <w:r w:rsidRPr="002E3CB2">
              <w:rPr>
                <w:sz w:val="21"/>
                <w:szCs w:val="21"/>
              </w:rPr>
              <w:t>.000,00</w:t>
            </w:r>
          </w:p>
        </w:tc>
      </w:tr>
      <w:tr w:rsidR="00F230D3" w:rsidRPr="008A0A80" w14:paraId="74E37F46" w14:textId="77777777" w:rsidTr="00E52458">
        <w:trPr>
          <w:cantSplit/>
          <w:trHeight w:val="35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5009" w14:textId="449575B1" w:rsidR="00F230D3" w:rsidRPr="00C31498" w:rsidRDefault="00F230D3" w:rsidP="00571910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0F5A" w14:textId="7758F2F3" w:rsidR="00F230D3" w:rsidRDefault="00F230D3" w:rsidP="00C7786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1.2. Nabava IKT i uredske opreme za projekt Uspostava reciklažnog dvorišta </w:t>
            </w:r>
          </w:p>
          <w:p w14:paraId="7BEFF3C1" w14:textId="0BF122C5" w:rsidR="00F230D3" w:rsidRPr="00C31498" w:rsidRDefault="00F230D3" w:rsidP="00C7786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3185" w14:textId="62E087CB" w:rsidR="00F230D3" w:rsidRPr="00F230D3" w:rsidRDefault="00F230D3" w:rsidP="00C77866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 w:rsidRPr="00F230D3">
              <w:rPr>
                <w:bCs/>
                <w:sz w:val="21"/>
                <w:szCs w:val="21"/>
              </w:rPr>
              <w:t>45.000,00</w:t>
            </w:r>
          </w:p>
        </w:tc>
      </w:tr>
      <w:tr w:rsidR="00F230D3" w:rsidRPr="008A0A80" w14:paraId="7818A9E9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E098" w14:textId="77777777" w:rsidR="00F230D3" w:rsidRDefault="00F230D3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46A" w14:textId="77777777" w:rsidR="00F230D3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1.3. Usluga stručnog nadzora provedbe projekta Uspostava reciklažnog dvorišta   </w:t>
            </w:r>
          </w:p>
          <w:p w14:paraId="569696F7" w14:textId="1E07D7EB" w:rsidR="00F230D3" w:rsidRDefault="00F230D3" w:rsidP="00F230D3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2A695B" w14:textId="2381F8AF" w:rsidR="00F230D3" w:rsidRPr="002E3CB2" w:rsidRDefault="00F230D3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91.5</w:t>
            </w:r>
            <w:r w:rsidRPr="002E3CB2">
              <w:rPr>
                <w:sz w:val="21"/>
                <w:szCs w:val="21"/>
              </w:rPr>
              <w:t>00,00</w:t>
            </w:r>
          </w:p>
        </w:tc>
      </w:tr>
      <w:tr w:rsidR="00F230D3" w:rsidRPr="008A0A80" w14:paraId="20DFC47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7D33" w14:textId="77777777" w:rsidR="00F230D3" w:rsidRDefault="00F230D3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ABF7" w14:textId="77777777" w:rsidR="00F230D3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1.4. Usluga projektantskog nadzora provedbe projekta Uspostava reciklažnog</w:t>
            </w:r>
          </w:p>
          <w:p w14:paraId="7DF2EDBB" w14:textId="3072BA5E" w:rsidR="00F230D3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dvorišta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9727D3" w14:textId="4171C1D3" w:rsidR="00F230D3" w:rsidRDefault="00F230D3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96.000,00</w:t>
            </w:r>
          </w:p>
        </w:tc>
      </w:tr>
      <w:tr w:rsidR="00F230D3" w:rsidRPr="008A0A80" w14:paraId="7AC26F0F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F520" w14:textId="77777777" w:rsidR="00F230D3" w:rsidRDefault="00F230D3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2AB3" w14:textId="77777777" w:rsidR="00F230D3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1.5. Usluga provedbe </w:t>
            </w:r>
            <w:proofErr w:type="spellStart"/>
            <w:r>
              <w:rPr>
                <w:bCs/>
                <w:sz w:val="21"/>
                <w:szCs w:val="21"/>
              </w:rPr>
              <w:t>izobrazno</w:t>
            </w:r>
            <w:proofErr w:type="spellEnd"/>
            <w:r>
              <w:rPr>
                <w:bCs/>
                <w:sz w:val="21"/>
                <w:szCs w:val="21"/>
              </w:rPr>
              <w:t xml:space="preserve"> edukativnih radionica za projekt Uspostava </w:t>
            </w:r>
          </w:p>
          <w:p w14:paraId="1C7EAEDC" w14:textId="687D12DF" w:rsidR="00F230D3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reciklažnog dvorišta Općine Maruševec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06E66B" w14:textId="751AE67A" w:rsidR="00F230D3" w:rsidRDefault="00BC1E76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40.000,00</w:t>
            </w:r>
          </w:p>
        </w:tc>
      </w:tr>
      <w:tr w:rsidR="00BB589D" w:rsidRPr="008A0A80" w14:paraId="4586124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6401" w14:textId="77777777" w:rsidR="00BB589D" w:rsidRDefault="00BB589D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B70A" w14:textId="77777777" w:rsidR="00BB589D" w:rsidRDefault="00BB589D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1.6. Usluge upravljanja projektom Uspostava reciklažnog dvorišta Općine</w:t>
            </w:r>
          </w:p>
          <w:p w14:paraId="10036C7B" w14:textId="68AE3E4B" w:rsidR="00BB589D" w:rsidRDefault="00BB589D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6576A9" w14:textId="03909FDD" w:rsidR="00BB589D" w:rsidRDefault="00E26354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60.000,00</w:t>
            </w:r>
          </w:p>
        </w:tc>
      </w:tr>
      <w:tr w:rsidR="00F230D3" w:rsidRPr="008A0A80" w14:paraId="0BE55901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2638" w14:textId="77777777" w:rsidR="00F230D3" w:rsidRDefault="00F230D3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C48D" w14:textId="6E006C93" w:rsidR="00BC1E76" w:rsidRDefault="00F230D3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B589D">
              <w:rPr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BC1E76">
              <w:rPr>
                <w:bCs/>
                <w:sz w:val="21"/>
                <w:szCs w:val="21"/>
              </w:rPr>
              <w:t xml:space="preserve">Usluga izrade edukativnih brošura i edukativnih letaka za projekt uspostava </w:t>
            </w:r>
          </w:p>
          <w:p w14:paraId="6216F4BA" w14:textId="0C83E1EC" w:rsidR="00F230D3" w:rsidRDefault="00BC1E76" w:rsidP="00F230D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reciklažnog dvorišta Općine Maruševec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B7813A" w14:textId="10588C50" w:rsidR="00F230D3" w:rsidRDefault="00BC1E76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65.240,00</w:t>
            </w:r>
          </w:p>
        </w:tc>
      </w:tr>
      <w:tr w:rsidR="00117F71" w:rsidRPr="008A0A80" w14:paraId="08D473D9" w14:textId="77777777" w:rsidTr="00953DDD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B5863" w14:textId="1FC38CB5" w:rsidR="00117F71" w:rsidRPr="00AD796D" w:rsidRDefault="00117F71" w:rsidP="00067A2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lastRenderedPageBreak/>
              <w:t xml:space="preserve">Izvori financiranja:  </w:t>
            </w:r>
          </w:p>
          <w:p w14:paraId="3DA751DA" w14:textId="77777777" w:rsidR="000545B1" w:rsidRDefault="000545B1" w:rsidP="000545B1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1. </w:t>
            </w:r>
            <w:r w:rsidRPr="002503D0">
              <w:rPr>
                <w:bCs/>
                <w:i/>
                <w:sz w:val="21"/>
                <w:szCs w:val="21"/>
              </w:rPr>
              <w:t>Točka 1</w:t>
            </w:r>
            <w:r>
              <w:rPr>
                <w:bCs/>
                <w:i/>
                <w:sz w:val="21"/>
                <w:szCs w:val="21"/>
              </w:rPr>
              <w:t xml:space="preserve">.1., 1.2., 1.3., 1.4., 1.5. i 1.6. –  svi troškovi sufinanciraju se sa 84,7990910% temeljem Ugovora   </w:t>
            </w:r>
          </w:p>
          <w:p w14:paraId="1E8E4EB7" w14:textId="77777777" w:rsidR="000545B1" w:rsidRDefault="000545B1" w:rsidP="000545B1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 od dodjeli bespovratnih sredstava za projekte koji se financiraju iz EU fonda sklopljenog sa </w:t>
            </w:r>
          </w:p>
          <w:p w14:paraId="0D12BC1E" w14:textId="77777777" w:rsidR="000545B1" w:rsidRDefault="000545B1" w:rsidP="000545B1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Ministarstvom gospodarstva i održivog razvoja i Fonda za zaštitu okoliša i energetsku učinkovitost, a </w:t>
            </w:r>
          </w:p>
          <w:p w14:paraId="069E7AAA" w14:textId="05B54C9B" w:rsidR="00117F71" w:rsidRPr="00551E3B" w:rsidRDefault="000545B1" w:rsidP="000545B1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preostalih 15,2% sufinancira Općina Maruševec iz općih poreznih prihoda Proračuna.</w:t>
            </w:r>
          </w:p>
        </w:tc>
      </w:tr>
      <w:bookmarkEnd w:id="0"/>
    </w:tbl>
    <w:p w14:paraId="1D1DE3E8" w14:textId="2936FEC3" w:rsidR="00953DDD" w:rsidRDefault="00953DDD" w:rsidP="00C93FAE">
      <w:pPr>
        <w:pBdr>
          <w:bottom w:val="single" w:sz="12" w:space="1" w:color="auto"/>
        </w:pBdr>
        <w:adjustRightInd w:val="0"/>
        <w:jc w:val="both"/>
        <w:rPr>
          <w:b/>
          <w:bCs/>
          <w:sz w:val="22"/>
          <w:szCs w:val="22"/>
        </w:rPr>
      </w:pPr>
    </w:p>
    <w:p w14:paraId="3DCEEFA1" w14:textId="77777777" w:rsidR="00235897" w:rsidRDefault="00235897" w:rsidP="00235897">
      <w:pPr>
        <w:adjustRightInd w:val="0"/>
        <w:jc w:val="center"/>
        <w:rPr>
          <w:b/>
          <w:bCs/>
          <w:sz w:val="22"/>
          <w:szCs w:val="22"/>
        </w:rPr>
      </w:pPr>
    </w:p>
    <w:p w14:paraId="559866AD" w14:textId="01BE3161" w:rsidR="00953DDD" w:rsidRDefault="00402637" w:rsidP="00402637">
      <w:pPr>
        <w:adjustRightInd w:val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Ovim </w:t>
      </w:r>
      <w:r w:rsidRPr="00402637">
        <w:rPr>
          <w:bCs/>
          <w:sz w:val="22"/>
          <w:szCs w:val="22"/>
        </w:rPr>
        <w:t>Programo</w:t>
      </w:r>
      <w:r w:rsidR="00456D3F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određene su</w:t>
      </w:r>
      <w:r w:rsidRPr="004026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aktivnosti prema namjenama utvrđene člankom 68. st. 2. Zakona o komunalnom gospodarstvu (</w:t>
      </w:r>
      <w:r>
        <w:rPr>
          <w:sz w:val="22"/>
          <w:szCs w:val="22"/>
        </w:rPr>
        <w:t>„Narodne novine“ br.</w:t>
      </w:r>
      <w:r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68/18, 110/18, 32/20</w:t>
      </w:r>
      <w:r w:rsidRPr="008A0A80">
        <w:rPr>
          <w:sz w:val="22"/>
          <w:szCs w:val="22"/>
        </w:rPr>
        <w:t>)</w:t>
      </w:r>
      <w:r>
        <w:rPr>
          <w:sz w:val="22"/>
          <w:szCs w:val="22"/>
        </w:rPr>
        <w:t>, i iznose:</w:t>
      </w:r>
    </w:p>
    <w:p w14:paraId="26DF32C0" w14:textId="77777777" w:rsidR="00402637" w:rsidRDefault="00402637" w:rsidP="00402637">
      <w:pPr>
        <w:adjustRightInd w:val="0"/>
        <w:ind w:left="360"/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6379"/>
        <w:gridCol w:w="1559"/>
      </w:tblGrid>
      <w:tr w:rsidR="00402637" w:rsidRPr="007155D4" w14:paraId="38A1BEF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897" w14:textId="6490A74E" w:rsidR="00402637" w:rsidRPr="00E9559D" w:rsidRDefault="00D46DC8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namjena iz čl. 68. st.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780" w14:textId="19F53D25" w:rsidR="00402637" w:rsidRPr="00E9559D" w:rsidRDefault="00402637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Opis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2B6" w14:textId="26C307EE" w:rsidR="00402637" w:rsidRPr="00E9559D" w:rsidRDefault="00402637" w:rsidP="00066C66">
            <w:pPr>
              <w:adjustRightInd w:val="0"/>
              <w:spacing w:before="100" w:beforeAutospacing="1" w:after="100" w:afterAutospacing="1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Iznos</w:t>
            </w:r>
          </w:p>
        </w:tc>
      </w:tr>
      <w:tr w:rsidR="00402637" w:rsidRPr="007155D4" w14:paraId="68AC978E" w14:textId="77777777" w:rsidTr="00E52458">
        <w:trPr>
          <w:cantSplit/>
          <w:trHeight w:hRule="exact"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C7A" w14:textId="3B9BFC3F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37A" w14:textId="2FBF108A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radi uređenja neuređenih dijelova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B7C" w14:textId="7FABB7DD" w:rsidR="00402637" w:rsidRPr="007155D4" w:rsidRDefault="00A0783D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02637" w:rsidRPr="007155D4" w14:paraId="3651A521" w14:textId="77777777" w:rsidTr="00E52458">
        <w:trPr>
          <w:cantSplit/>
          <w:trHeight w:hRule="exact"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EC4" w14:textId="31354545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toč.</w:t>
            </w:r>
            <w:r w:rsidR="007155D4" w:rsidRPr="007155D4">
              <w:rPr>
                <w:sz w:val="21"/>
                <w:szCs w:val="2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AE9" w14:textId="6C409CFF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u uređenim dijelovima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4A3" w14:textId="73152365" w:rsidR="00402637" w:rsidRPr="007155D4" w:rsidRDefault="00A0783D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1.185.000,00</w:t>
            </w:r>
          </w:p>
        </w:tc>
      </w:tr>
      <w:tr w:rsidR="00402637" w:rsidRPr="007155D4" w14:paraId="2A6C6FD2" w14:textId="77777777" w:rsidTr="00E5245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F4" w14:textId="3B1C39B7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B6B" w14:textId="2C6EF8B9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izvan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0C" w14:textId="2EF8BDE4" w:rsidR="00402637" w:rsidRPr="004D42A1" w:rsidRDefault="00A0783D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4.327.740,00</w:t>
            </w:r>
          </w:p>
        </w:tc>
      </w:tr>
      <w:tr w:rsidR="00402637" w:rsidRPr="007155D4" w14:paraId="06A0454E" w14:textId="77777777" w:rsidTr="00E52458">
        <w:trPr>
          <w:cantSplit/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B8E" w14:textId="6910CC3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272" w14:textId="6F20AE7E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postojeće građevine komunalne infrastrukture koje će se rekonstruirati i način rekonstrukcije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CDB" w14:textId="40254349" w:rsidR="00402637" w:rsidRPr="004D42A1" w:rsidRDefault="00A0783D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1.780.000,00</w:t>
            </w:r>
          </w:p>
        </w:tc>
      </w:tr>
      <w:tr w:rsidR="00402637" w:rsidRPr="007155D4" w14:paraId="5608D20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214" w14:textId="1403B7A0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F6C" w14:textId="63B0817A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uklanjati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63DC" w14:textId="70931FEF" w:rsidR="00402637" w:rsidRPr="004D42A1" w:rsidRDefault="00A0783D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02637" w:rsidRPr="007155D4" w14:paraId="0811D44B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29C" w14:textId="2E62354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FE3" w14:textId="280DF445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ostal</w:t>
            </w:r>
            <w:r w:rsidR="004D42A1">
              <w:rPr>
                <w:sz w:val="21"/>
                <w:szCs w:val="21"/>
              </w:rPr>
              <w:t>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26F" w14:textId="1377BE7E" w:rsidR="00402637" w:rsidRPr="004D42A1" w:rsidRDefault="00A0783D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50.000,00</w:t>
            </w:r>
          </w:p>
        </w:tc>
      </w:tr>
      <w:tr w:rsidR="003633A7" w:rsidRPr="007155D4" w14:paraId="5512187A" w14:textId="77777777" w:rsidTr="004D42A1">
        <w:trPr>
          <w:cantSplit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D02171" w14:textId="72EC2CCF" w:rsidR="003633A7" w:rsidRPr="007155D4" w:rsidRDefault="003633A7" w:rsidP="007155D4">
            <w:pPr>
              <w:adjustRightInd w:val="0"/>
              <w:ind w:left="15" w:right="108"/>
              <w:jc w:val="right"/>
              <w:rPr>
                <w:b/>
                <w:bCs/>
              </w:rPr>
            </w:pPr>
            <w:r w:rsidRPr="007155D4">
              <w:rPr>
                <w:b/>
                <w:bCs/>
              </w:rPr>
              <w:t>SVEUKUPNO PROGRAM: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FE49D" w14:textId="761BBF3A" w:rsidR="003633A7" w:rsidRPr="007155D4" w:rsidRDefault="00A0783D" w:rsidP="007155D4">
            <w:pPr>
              <w:adjustRightInd w:val="0"/>
              <w:spacing w:before="100" w:beforeAutospacing="1" w:after="100" w:afterAutospacing="1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7.342.740,00</w:t>
            </w:r>
          </w:p>
        </w:tc>
      </w:tr>
    </w:tbl>
    <w:p w14:paraId="7548A644" w14:textId="77777777" w:rsidR="00402637" w:rsidRDefault="00402637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7E5DDD2A" w14:textId="77777777" w:rsidR="00402637" w:rsidRDefault="00402637" w:rsidP="00D92ECE">
      <w:pPr>
        <w:pStyle w:val="Odlomakpopisa"/>
        <w:tabs>
          <w:tab w:val="left" w:pos="851"/>
        </w:tabs>
        <w:adjustRightInd w:val="0"/>
        <w:rPr>
          <w:b/>
          <w:bCs/>
          <w:sz w:val="22"/>
          <w:szCs w:val="22"/>
        </w:rPr>
      </w:pPr>
    </w:p>
    <w:p w14:paraId="11F37B69" w14:textId="3EAE3E5C" w:rsidR="00F30CD7" w:rsidRPr="00495B7D" w:rsidRDefault="00495B7D" w:rsidP="00495B7D">
      <w:pPr>
        <w:adjustRightInd w:val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  <w:r w:rsidR="00F30CD7" w:rsidRPr="00495B7D">
        <w:rPr>
          <w:b/>
          <w:bCs/>
          <w:sz w:val="22"/>
          <w:szCs w:val="22"/>
        </w:rPr>
        <w:t>ZAVRŠNE ODREDBE</w:t>
      </w:r>
    </w:p>
    <w:p w14:paraId="60050E9D" w14:textId="77777777" w:rsidR="00FE0C6D" w:rsidRPr="00FE0C6D" w:rsidRDefault="00FE0C6D" w:rsidP="00FE0C6D">
      <w:pPr>
        <w:adjustRightInd w:val="0"/>
        <w:jc w:val="both"/>
        <w:rPr>
          <w:bCs/>
          <w:sz w:val="22"/>
          <w:szCs w:val="22"/>
        </w:rPr>
      </w:pPr>
    </w:p>
    <w:p w14:paraId="655D66F2" w14:textId="1F320A7D" w:rsidR="00F30CD7" w:rsidRPr="00495B7D" w:rsidRDefault="00495B7D" w:rsidP="00495B7D">
      <w:pPr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F30CD7" w:rsidRPr="00495B7D">
        <w:rPr>
          <w:bCs/>
          <w:sz w:val="22"/>
          <w:szCs w:val="22"/>
        </w:rPr>
        <w:t>U okviru sredstava za provedbu ovog Programa dopuštena je preraspodjela utvrđenih sredstava između pojedinih rashoda i izdataka u cilju efikasnijeg i racionalnijeg ostvarivanja Programa i poboljšanja stanja u djelatnostima, a uz odobrenj</w:t>
      </w:r>
      <w:r w:rsidR="00606FF5" w:rsidRPr="00495B7D">
        <w:rPr>
          <w:bCs/>
          <w:sz w:val="22"/>
          <w:szCs w:val="22"/>
        </w:rPr>
        <w:t>e</w:t>
      </w:r>
      <w:r w:rsidR="00F30CD7" w:rsidRPr="00495B7D">
        <w:rPr>
          <w:bCs/>
          <w:sz w:val="22"/>
          <w:szCs w:val="22"/>
        </w:rPr>
        <w:t xml:space="preserve"> </w:t>
      </w:r>
      <w:r w:rsidR="00606FF5" w:rsidRPr="00495B7D">
        <w:rPr>
          <w:bCs/>
          <w:sz w:val="22"/>
          <w:szCs w:val="22"/>
        </w:rPr>
        <w:t>općinskog načelnika</w:t>
      </w:r>
      <w:r w:rsidR="00F30CD7" w:rsidRPr="00495B7D">
        <w:rPr>
          <w:bCs/>
          <w:sz w:val="22"/>
          <w:szCs w:val="22"/>
        </w:rPr>
        <w:t>.</w:t>
      </w:r>
    </w:p>
    <w:p w14:paraId="25093A2C" w14:textId="2D494D9A" w:rsidR="00606FF5" w:rsidRDefault="00606FF5" w:rsidP="00495B7D">
      <w:pPr>
        <w:adjustRightInd w:val="0"/>
        <w:jc w:val="both"/>
        <w:rPr>
          <w:sz w:val="22"/>
          <w:szCs w:val="22"/>
        </w:rPr>
      </w:pPr>
    </w:p>
    <w:p w14:paraId="7032D0E7" w14:textId="07447FB7" w:rsidR="00495B7D" w:rsidRPr="00495B7D" w:rsidRDefault="00495B7D" w:rsidP="00495B7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Program građenja objekata i uređaja komunalne infrastrukture za 2022. godinu stupa na snagu osmog dana od dana objave u „Službenom vjesniku Varaždinske županije“.</w:t>
      </w:r>
    </w:p>
    <w:p w14:paraId="79CBD898" w14:textId="1C413C47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0DB2296B" w14:textId="06EB9523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16C51A16" w14:textId="77777777" w:rsidR="00606FF5" w:rsidRPr="0084449C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2AC2C89" w14:textId="46B4D7DE" w:rsidR="00A43270" w:rsidRPr="008A0A80" w:rsidRDefault="00A43270" w:rsidP="00A43270">
      <w:pPr>
        <w:adjustRightInd w:val="0"/>
        <w:ind w:firstLine="708"/>
        <w:jc w:val="right"/>
        <w:rPr>
          <w:sz w:val="22"/>
          <w:szCs w:val="22"/>
        </w:rPr>
      </w:pPr>
      <w:r w:rsidRPr="008A0A80">
        <w:rPr>
          <w:sz w:val="22"/>
          <w:szCs w:val="22"/>
        </w:rPr>
        <w:t>PREDSJEDNI</w:t>
      </w:r>
      <w:r w:rsidR="00606FF5">
        <w:rPr>
          <w:sz w:val="22"/>
          <w:szCs w:val="22"/>
        </w:rPr>
        <w:t>K OPĆINSKOG VIJEĆA</w:t>
      </w:r>
    </w:p>
    <w:p w14:paraId="52356D0B" w14:textId="532431C6" w:rsidR="00A43270" w:rsidRDefault="00606FF5" w:rsidP="00606FF5">
      <w:pPr>
        <w:adjustRightInd w:val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OPĆINE MARUŠEVEC</w:t>
      </w:r>
    </w:p>
    <w:p w14:paraId="66A520C7" w14:textId="167EF192" w:rsidR="00A30507" w:rsidRDefault="00495B7D" w:rsidP="00606FF5">
      <w:pPr>
        <w:adjustRightInd w:val="0"/>
        <w:ind w:firstLine="708"/>
        <w:jc w:val="center"/>
      </w:pPr>
      <w:r>
        <w:t xml:space="preserve">                                                                                                  Damir Šprem</w:t>
      </w:r>
    </w:p>
    <w:p w14:paraId="1F0627F6" w14:textId="4A37CB81" w:rsidR="00AA70ED" w:rsidRDefault="00AA70ED" w:rsidP="00606FF5">
      <w:pPr>
        <w:adjustRightInd w:val="0"/>
        <w:ind w:firstLine="708"/>
        <w:jc w:val="center"/>
      </w:pPr>
    </w:p>
    <w:p w14:paraId="5986E41C" w14:textId="26E9F49E" w:rsidR="00AA70ED" w:rsidRDefault="00AA70ED" w:rsidP="00606FF5">
      <w:pPr>
        <w:adjustRightInd w:val="0"/>
        <w:ind w:firstLine="708"/>
        <w:jc w:val="center"/>
      </w:pPr>
    </w:p>
    <w:p w14:paraId="785A2132" w14:textId="34B8662A" w:rsidR="00AA70ED" w:rsidRDefault="00AA70ED" w:rsidP="00606FF5">
      <w:pPr>
        <w:adjustRightInd w:val="0"/>
        <w:ind w:firstLine="708"/>
        <w:jc w:val="center"/>
      </w:pPr>
    </w:p>
    <w:p w14:paraId="21341B6C" w14:textId="670CC09E" w:rsidR="00AA70ED" w:rsidRDefault="00AA70ED" w:rsidP="00606FF5">
      <w:pPr>
        <w:adjustRightInd w:val="0"/>
        <w:ind w:firstLine="708"/>
        <w:jc w:val="center"/>
      </w:pPr>
    </w:p>
    <w:p w14:paraId="6F466B0D" w14:textId="7B85C303" w:rsidR="00AA70ED" w:rsidRDefault="00AA70ED" w:rsidP="00606FF5">
      <w:pPr>
        <w:adjustRightInd w:val="0"/>
        <w:ind w:firstLine="708"/>
        <w:jc w:val="center"/>
      </w:pPr>
    </w:p>
    <w:p w14:paraId="55973C81" w14:textId="25F908CA" w:rsidR="00AA70ED" w:rsidRDefault="00AA70ED" w:rsidP="00606FF5">
      <w:pPr>
        <w:adjustRightInd w:val="0"/>
        <w:ind w:firstLine="708"/>
        <w:jc w:val="center"/>
      </w:pPr>
    </w:p>
    <w:p w14:paraId="5DD304BF" w14:textId="036A0BA7" w:rsidR="00AA70ED" w:rsidRDefault="00AA70ED" w:rsidP="00606FF5">
      <w:pPr>
        <w:adjustRightInd w:val="0"/>
        <w:ind w:firstLine="708"/>
        <w:jc w:val="center"/>
      </w:pPr>
    </w:p>
    <w:p w14:paraId="164DA73D" w14:textId="3C159106" w:rsidR="00AA70ED" w:rsidRDefault="00AA70ED" w:rsidP="00606FF5">
      <w:pPr>
        <w:adjustRightInd w:val="0"/>
        <w:ind w:firstLine="708"/>
        <w:jc w:val="center"/>
      </w:pPr>
    </w:p>
    <w:p w14:paraId="2269600F" w14:textId="3F96E0DD" w:rsidR="00AA70ED" w:rsidRDefault="00AA70ED" w:rsidP="00606FF5">
      <w:pPr>
        <w:adjustRightInd w:val="0"/>
        <w:ind w:firstLine="708"/>
        <w:jc w:val="center"/>
      </w:pPr>
    </w:p>
    <w:p w14:paraId="1A3D47B8" w14:textId="3BF5119F" w:rsidR="00AA70ED" w:rsidRDefault="00AA70ED" w:rsidP="00606FF5">
      <w:pPr>
        <w:adjustRightInd w:val="0"/>
        <w:ind w:firstLine="708"/>
        <w:jc w:val="center"/>
      </w:pPr>
    </w:p>
    <w:p w14:paraId="43B1C7F2" w14:textId="165057D2" w:rsidR="00AA70ED" w:rsidRDefault="00AA70ED" w:rsidP="00606FF5">
      <w:pPr>
        <w:adjustRightInd w:val="0"/>
        <w:ind w:firstLine="708"/>
        <w:jc w:val="center"/>
      </w:pPr>
    </w:p>
    <w:p w14:paraId="2345E304" w14:textId="4B22CE1E" w:rsidR="00AA70ED" w:rsidRDefault="00AA70ED" w:rsidP="00606FF5">
      <w:pPr>
        <w:adjustRightInd w:val="0"/>
        <w:ind w:firstLine="708"/>
        <w:jc w:val="center"/>
      </w:pPr>
    </w:p>
    <w:p w14:paraId="114A418C" w14:textId="68C159DE" w:rsidR="00AA70ED" w:rsidRDefault="00AA70ED" w:rsidP="00606FF5">
      <w:pPr>
        <w:adjustRightInd w:val="0"/>
        <w:ind w:firstLine="708"/>
        <w:jc w:val="center"/>
      </w:pPr>
    </w:p>
    <w:p w14:paraId="5CA19AD3" w14:textId="3EBD7030" w:rsidR="00AA70ED" w:rsidRDefault="00AA70ED" w:rsidP="00606FF5">
      <w:pPr>
        <w:adjustRightInd w:val="0"/>
        <w:ind w:firstLine="708"/>
        <w:jc w:val="center"/>
      </w:pPr>
    </w:p>
    <w:p w14:paraId="0485AB9F" w14:textId="17159F7F" w:rsidR="00AA70ED" w:rsidRDefault="00AA70ED" w:rsidP="00606FF5">
      <w:pPr>
        <w:adjustRightInd w:val="0"/>
        <w:ind w:firstLine="708"/>
        <w:jc w:val="center"/>
      </w:pPr>
    </w:p>
    <w:p w14:paraId="33948F79" w14:textId="6550E19B" w:rsidR="00AA70ED" w:rsidRDefault="00AA70ED" w:rsidP="00606FF5">
      <w:pPr>
        <w:adjustRightInd w:val="0"/>
        <w:ind w:firstLine="708"/>
        <w:jc w:val="center"/>
      </w:pPr>
    </w:p>
    <w:sectPr w:rsidR="00AA70ED" w:rsidSect="007155D4">
      <w:footerReference w:type="even" r:id="rId9"/>
      <w:footerReference w:type="default" r:id="rId10"/>
      <w:pgSz w:w="11906" w:h="16838"/>
      <w:pgMar w:top="1134" w:right="991" w:bottom="851" w:left="993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BF16" w14:textId="77777777" w:rsidR="00ED0AE4" w:rsidRDefault="00ED0AE4">
      <w:r>
        <w:separator/>
      </w:r>
    </w:p>
  </w:endnote>
  <w:endnote w:type="continuationSeparator" w:id="0">
    <w:p w14:paraId="732171D6" w14:textId="77777777" w:rsidR="00ED0AE4" w:rsidRDefault="00E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005" w14:textId="77777777" w:rsidR="00BF1950" w:rsidRDefault="00BF1950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0F062A" w14:textId="77777777" w:rsidR="00BF1950" w:rsidRDefault="00BF19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D99" w14:textId="77777777" w:rsidR="00BF1950" w:rsidRPr="009F2346" w:rsidRDefault="00BF1950" w:rsidP="00F30CD7">
    <w:pPr>
      <w:pStyle w:val="Podnoje"/>
      <w:framePr w:wrap="around" w:vAnchor="text" w:hAnchor="margin" w:xAlign="center" w:y="1"/>
      <w:rPr>
        <w:rStyle w:val="Brojstranice"/>
        <w:sz w:val="22"/>
        <w:szCs w:val="22"/>
      </w:rPr>
    </w:pPr>
    <w:r w:rsidRPr="009F2346">
      <w:rPr>
        <w:rStyle w:val="Brojstranice"/>
        <w:sz w:val="22"/>
        <w:szCs w:val="22"/>
      </w:rPr>
      <w:fldChar w:fldCharType="begin"/>
    </w:r>
    <w:r w:rsidRPr="009F2346">
      <w:rPr>
        <w:rStyle w:val="Brojstranice"/>
        <w:sz w:val="22"/>
        <w:szCs w:val="22"/>
      </w:rPr>
      <w:instrText xml:space="preserve">PAGE  </w:instrText>
    </w:r>
    <w:r w:rsidRPr="009F2346">
      <w:rPr>
        <w:rStyle w:val="Brojstranice"/>
        <w:sz w:val="22"/>
        <w:szCs w:val="22"/>
      </w:rPr>
      <w:fldChar w:fldCharType="separate"/>
    </w:r>
    <w:r>
      <w:rPr>
        <w:rStyle w:val="Brojstranice"/>
        <w:noProof/>
        <w:sz w:val="22"/>
        <w:szCs w:val="22"/>
      </w:rPr>
      <w:t>6</w:t>
    </w:r>
    <w:r w:rsidRPr="009F2346">
      <w:rPr>
        <w:rStyle w:val="Brojstranice"/>
        <w:sz w:val="22"/>
        <w:szCs w:val="22"/>
      </w:rPr>
      <w:fldChar w:fldCharType="end"/>
    </w:r>
  </w:p>
  <w:p w14:paraId="50C68DB0" w14:textId="77777777" w:rsidR="00BF1950" w:rsidRDefault="00BF1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9B2F" w14:textId="77777777" w:rsidR="00ED0AE4" w:rsidRDefault="00ED0AE4">
      <w:r>
        <w:separator/>
      </w:r>
    </w:p>
  </w:footnote>
  <w:footnote w:type="continuationSeparator" w:id="0">
    <w:p w14:paraId="321CFD02" w14:textId="77777777" w:rsidR="00ED0AE4" w:rsidRDefault="00ED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6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A3F"/>
    <w:multiLevelType w:val="hybridMultilevel"/>
    <w:tmpl w:val="53D0C586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07D75"/>
    <w:multiLevelType w:val="hybridMultilevel"/>
    <w:tmpl w:val="A59E38C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DF50F4"/>
    <w:multiLevelType w:val="hybridMultilevel"/>
    <w:tmpl w:val="981CF03A"/>
    <w:lvl w:ilvl="0" w:tplc="7550D80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2E22"/>
    <w:multiLevelType w:val="hybridMultilevel"/>
    <w:tmpl w:val="023AB49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A455CA"/>
    <w:multiLevelType w:val="hybridMultilevel"/>
    <w:tmpl w:val="DA1C0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2A9E"/>
    <w:multiLevelType w:val="hybridMultilevel"/>
    <w:tmpl w:val="06A89596"/>
    <w:lvl w:ilvl="0" w:tplc="0452FE00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464BB6"/>
    <w:multiLevelType w:val="hybridMultilevel"/>
    <w:tmpl w:val="77A442E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1306EC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2E7E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220E8"/>
    <w:multiLevelType w:val="hybridMultilevel"/>
    <w:tmpl w:val="69183A7C"/>
    <w:lvl w:ilvl="0" w:tplc="09962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91691"/>
    <w:multiLevelType w:val="multilevel"/>
    <w:tmpl w:val="F83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07044"/>
    <w:rsid w:val="0001100F"/>
    <w:rsid w:val="00011C5B"/>
    <w:rsid w:val="00013018"/>
    <w:rsid w:val="0001379B"/>
    <w:rsid w:val="000145F4"/>
    <w:rsid w:val="00014D1A"/>
    <w:rsid w:val="0001521A"/>
    <w:rsid w:val="000152C1"/>
    <w:rsid w:val="00016031"/>
    <w:rsid w:val="0001612F"/>
    <w:rsid w:val="000163B0"/>
    <w:rsid w:val="0001673D"/>
    <w:rsid w:val="00016D01"/>
    <w:rsid w:val="000172F1"/>
    <w:rsid w:val="00020F4D"/>
    <w:rsid w:val="00021653"/>
    <w:rsid w:val="000264A4"/>
    <w:rsid w:val="000275EE"/>
    <w:rsid w:val="00027773"/>
    <w:rsid w:val="000300FF"/>
    <w:rsid w:val="00030B69"/>
    <w:rsid w:val="00031346"/>
    <w:rsid w:val="00031506"/>
    <w:rsid w:val="00032AFF"/>
    <w:rsid w:val="00034BA2"/>
    <w:rsid w:val="00035C48"/>
    <w:rsid w:val="0003605F"/>
    <w:rsid w:val="00037905"/>
    <w:rsid w:val="0004017C"/>
    <w:rsid w:val="000401E4"/>
    <w:rsid w:val="0004185A"/>
    <w:rsid w:val="00041C96"/>
    <w:rsid w:val="00041DBD"/>
    <w:rsid w:val="00041FA1"/>
    <w:rsid w:val="0004252F"/>
    <w:rsid w:val="00042717"/>
    <w:rsid w:val="000427B8"/>
    <w:rsid w:val="00042932"/>
    <w:rsid w:val="00042D46"/>
    <w:rsid w:val="000435E2"/>
    <w:rsid w:val="000449A6"/>
    <w:rsid w:val="00044E2A"/>
    <w:rsid w:val="00044E41"/>
    <w:rsid w:val="000451BE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305F"/>
    <w:rsid w:val="000545B1"/>
    <w:rsid w:val="00055C8E"/>
    <w:rsid w:val="00056540"/>
    <w:rsid w:val="000570CA"/>
    <w:rsid w:val="000600E2"/>
    <w:rsid w:val="00060388"/>
    <w:rsid w:val="00060865"/>
    <w:rsid w:val="00060A8E"/>
    <w:rsid w:val="00061B88"/>
    <w:rsid w:val="00064331"/>
    <w:rsid w:val="0006647D"/>
    <w:rsid w:val="00066F61"/>
    <w:rsid w:val="00067A2D"/>
    <w:rsid w:val="00070A1B"/>
    <w:rsid w:val="00070B42"/>
    <w:rsid w:val="00072547"/>
    <w:rsid w:val="000736B8"/>
    <w:rsid w:val="00073C9F"/>
    <w:rsid w:val="0007419D"/>
    <w:rsid w:val="00074334"/>
    <w:rsid w:val="00074A6D"/>
    <w:rsid w:val="0007503A"/>
    <w:rsid w:val="000750E9"/>
    <w:rsid w:val="0007529B"/>
    <w:rsid w:val="00076C0F"/>
    <w:rsid w:val="000777C1"/>
    <w:rsid w:val="000815D3"/>
    <w:rsid w:val="00081FB8"/>
    <w:rsid w:val="000822DE"/>
    <w:rsid w:val="00082AF2"/>
    <w:rsid w:val="00082CF4"/>
    <w:rsid w:val="00082D8A"/>
    <w:rsid w:val="000833E5"/>
    <w:rsid w:val="00083B8C"/>
    <w:rsid w:val="00083DB8"/>
    <w:rsid w:val="00083EBD"/>
    <w:rsid w:val="000840B8"/>
    <w:rsid w:val="000841CF"/>
    <w:rsid w:val="00084C0F"/>
    <w:rsid w:val="0008582D"/>
    <w:rsid w:val="00085A32"/>
    <w:rsid w:val="00085B08"/>
    <w:rsid w:val="00085D22"/>
    <w:rsid w:val="000865BA"/>
    <w:rsid w:val="00087206"/>
    <w:rsid w:val="0008790E"/>
    <w:rsid w:val="000879F0"/>
    <w:rsid w:val="00087D3A"/>
    <w:rsid w:val="00087F55"/>
    <w:rsid w:val="00090356"/>
    <w:rsid w:val="000909DC"/>
    <w:rsid w:val="000917E3"/>
    <w:rsid w:val="00092192"/>
    <w:rsid w:val="00092DAA"/>
    <w:rsid w:val="00093464"/>
    <w:rsid w:val="00093B17"/>
    <w:rsid w:val="00094572"/>
    <w:rsid w:val="00094771"/>
    <w:rsid w:val="000947CE"/>
    <w:rsid w:val="00094D6B"/>
    <w:rsid w:val="00094FDB"/>
    <w:rsid w:val="00095029"/>
    <w:rsid w:val="00095BE5"/>
    <w:rsid w:val="00096209"/>
    <w:rsid w:val="000962E2"/>
    <w:rsid w:val="0009653F"/>
    <w:rsid w:val="0009669F"/>
    <w:rsid w:val="00096A88"/>
    <w:rsid w:val="00096B99"/>
    <w:rsid w:val="00097124"/>
    <w:rsid w:val="000A0BAE"/>
    <w:rsid w:val="000A1C2F"/>
    <w:rsid w:val="000A2DE1"/>
    <w:rsid w:val="000A32F0"/>
    <w:rsid w:val="000A36CF"/>
    <w:rsid w:val="000A44F2"/>
    <w:rsid w:val="000A59F4"/>
    <w:rsid w:val="000A622D"/>
    <w:rsid w:val="000A6690"/>
    <w:rsid w:val="000A6B03"/>
    <w:rsid w:val="000A6C5C"/>
    <w:rsid w:val="000A78CB"/>
    <w:rsid w:val="000A7F0D"/>
    <w:rsid w:val="000B03FA"/>
    <w:rsid w:val="000B059F"/>
    <w:rsid w:val="000B0676"/>
    <w:rsid w:val="000B1440"/>
    <w:rsid w:val="000B14BD"/>
    <w:rsid w:val="000B1926"/>
    <w:rsid w:val="000B1937"/>
    <w:rsid w:val="000B2E35"/>
    <w:rsid w:val="000B4244"/>
    <w:rsid w:val="000B4895"/>
    <w:rsid w:val="000B5576"/>
    <w:rsid w:val="000B59D3"/>
    <w:rsid w:val="000B63AC"/>
    <w:rsid w:val="000B6DDC"/>
    <w:rsid w:val="000B7338"/>
    <w:rsid w:val="000B7600"/>
    <w:rsid w:val="000B76DA"/>
    <w:rsid w:val="000B7979"/>
    <w:rsid w:val="000B7D84"/>
    <w:rsid w:val="000C0737"/>
    <w:rsid w:val="000C1674"/>
    <w:rsid w:val="000C1B2E"/>
    <w:rsid w:val="000C1BD8"/>
    <w:rsid w:val="000C2D6C"/>
    <w:rsid w:val="000C2E64"/>
    <w:rsid w:val="000C38AD"/>
    <w:rsid w:val="000C3B15"/>
    <w:rsid w:val="000C40E2"/>
    <w:rsid w:val="000C4535"/>
    <w:rsid w:val="000C4596"/>
    <w:rsid w:val="000C46F5"/>
    <w:rsid w:val="000C516B"/>
    <w:rsid w:val="000C5DCC"/>
    <w:rsid w:val="000C6136"/>
    <w:rsid w:val="000C6253"/>
    <w:rsid w:val="000C6C33"/>
    <w:rsid w:val="000D16D2"/>
    <w:rsid w:val="000D2B11"/>
    <w:rsid w:val="000D314F"/>
    <w:rsid w:val="000D3233"/>
    <w:rsid w:val="000D4791"/>
    <w:rsid w:val="000D4AD4"/>
    <w:rsid w:val="000D4B33"/>
    <w:rsid w:val="000D50F1"/>
    <w:rsid w:val="000D60A3"/>
    <w:rsid w:val="000D6901"/>
    <w:rsid w:val="000D6C1D"/>
    <w:rsid w:val="000D7376"/>
    <w:rsid w:val="000D773B"/>
    <w:rsid w:val="000D789A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FF"/>
    <w:rsid w:val="000E31FC"/>
    <w:rsid w:val="000E42D9"/>
    <w:rsid w:val="000E463B"/>
    <w:rsid w:val="000E4984"/>
    <w:rsid w:val="000E4E9F"/>
    <w:rsid w:val="000E57F4"/>
    <w:rsid w:val="000E589E"/>
    <w:rsid w:val="000E5CFF"/>
    <w:rsid w:val="000E636C"/>
    <w:rsid w:val="000E6D3C"/>
    <w:rsid w:val="000E707B"/>
    <w:rsid w:val="000F0948"/>
    <w:rsid w:val="000F0A98"/>
    <w:rsid w:val="000F0C3D"/>
    <w:rsid w:val="000F0E42"/>
    <w:rsid w:val="000F263E"/>
    <w:rsid w:val="000F413D"/>
    <w:rsid w:val="000F44A8"/>
    <w:rsid w:val="000F4894"/>
    <w:rsid w:val="000F5A58"/>
    <w:rsid w:val="000F6094"/>
    <w:rsid w:val="000F6125"/>
    <w:rsid w:val="000F6281"/>
    <w:rsid w:val="000F7505"/>
    <w:rsid w:val="0010330F"/>
    <w:rsid w:val="001042F6"/>
    <w:rsid w:val="0010461A"/>
    <w:rsid w:val="001059F7"/>
    <w:rsid w:val="00105D68"/>
    <w:rsid w:val="00105F6C"/>
    <w:rsid w:val="001075FC"/>
    <w:rsid w:val="00107C55"/>
    <w:rsid w:val="0011040D"/>
    <w:rsid w:val="00110899"/>
    <w:rsid w:val="00111234"/>
    <w:rsid w:val="001119B8"/>
    <w:rsid w:val="0011284F"/>
    <w:rsid w:val="00112D27"/>
    <w:rsid w:val="00112DE7"/>
    <w:rsid w:val="00113223"/>
    <w:rsid w:val="00113F82"/>
    <w:rsid w:val="001141BD"/>
    <w:rsid w:val="0011465C"/>
    <w:rsid w:val="001148A6"/>
    <w:rsid w:val="001148DD"/>
    <w:rsid w:val="0011497F"/>
    <w:rsid w:val="00114D22"/>
    <w:rsid w:val="0011520E"/>
    <w:rsid w:val="0011584E"/>
    <w:rsid w:val="001161F4"/>
    <w:rsid w:val="00116336"/>
    <w:rsid w:val="00116351"/>
    <w:rsid w:val="00116778"/>
    <w:rsid w:val="00116A09"/>
    <w:rsid w:val="00116ABF"/>
    <w:rsid w:val="00116E96"/>
    <w:rsid w:val="00117D78"/>
    <w:rsid w:val="00117F71"/>
    <w:rsid w:val="00121C3E"/>
    <w:rsid w:val="00121EAB"/>
    <w:rsid w:val="00121FE5"/>
    <w:rsid w:val="00122305"/>
    <w:rsid w:val="00122D31"/>
    <w:rsid w:val="00123777"/>
    <w:rsid w:val="00123D61"/>
    <w:rsid w:val="00123DA1"/>
    <w:rsid w:val="00124FCF"/>
    <w:rsid w:val="0012531C"/>
    <w:rsid w:val="00125585"/>
    <w:rsid w:val="00125684"/>
    <w:rsid w:val="00125699"/>
    <w:rsid w:val="00125B93"/>
    <w:rsid w:val="00125D79"/>
    <w:rsid w:val="001260BE"/>
    <w:rsid w:val="00126264"/>
    <w:rsid w:val="001263B2"/>
    <w:rsid w:val="0012645F"/>
    <w:rsid w:val="001300D9"/>
    <w:rsid w:val="00131345"/>
    <w:rsid w:val="001314F6"/>
    <w:rsid w:val="00131616"/>
    <w:rsid w:val="001325FD"/>
    <w:rsid w:val="00133765"/>
    <w:rsid w:val="0013437D"/>
    <w:rsid w:val="00134B11"/>
    <w:rsid w:val="00135006"/>
    <w:rsid w:val="0013562B"/>
    <w:rsid w:val="00135F46"/>
    <w:rsid w:val="00136F18"/>
    <w:rsid w:val="00136F89"/>
    <w:rsid w:val="00137600"/>
    <w:rsid w:val="001377BB"/>
    <w:rsid w:val="001417C8"/>
    <w:rsid w:val="00141C5A"/>
    <w:rsid w:val="00142403"/>
    <w:rsid w:val="0014258E"/>
    <w:rsid w:val="00143017"/>
    <w:rsid w:val="00143B75"/>
    <w:rsid w:val="001449A2"/>
    <w:rsid w:val="00146270"/>
    <w:rsid w:val="0014686F"/>
    <w:rsid w:val="001474ED"/>
    <w:rsid w:val="00147568"/>
    <w:rsid w:val="001477CE"/>
    <w:rsid w:val="0015038A"/>
    <w:rsid w:val="001504B2"/>
    <w:rsid w:val="0015075D"/>
    <w:rsid w:val="00150FA9"/>
    <w:rsid w:val="00150FE5"/>
    <w:rsid w:val="001518A0"/>
    <w:rsid w:val="00151AC2"/>
    <w:rsid w:val="0015214D"/>
    <w:rsid w:val="001525F6"/>
    <w:rsid w:val="00152639"/>
    <w:rsid w:val="00152AF5"/>
    <w:rsid w:val="00153908"/>
    <w:rsid w:val="00153B11"/>
    <w:rsid w:val="00154762"/>
    <w:rsid w:val="00154870"/>
    <w:rsid w:val="00156508"/>
    <w:rsid w:val="00156630"/>
    <w:rsid w:val="00156B41"/>
    <w:rsid w:val="001578FC"/>
    <w:rsid w:val="00157CEA"/>
    <w:rsid w:val="00160715"/>
    <w:rsid w:val="001607D1"/>
    <w:rsid w:val="00160BA3"/>
    <w:rsid w:val="0016268C"/>
    <w:rsid w:val="001626C2"/>
    <w:rsid w:val="001636D1"/>
    <w:rsid w:val="001637A2"/>
    <w:rsid w:val="00164118"/>
    <w:rsid w:val="001646C6"/>
    <w:rsid w:val="00165466"/>
    <w:rsid w:val="001656FB"/>
    <w:rsid w:val="00165D1D"/>
    <w:rsid w:val="00166FCE"/>
    <w:rsid w:val="00167D49"/>
    <w:rsid w:val="001704F4"/>
    <w:rsid w:val="00170BEB"/>
    <w:rsid w:val="001714CC"/>
    <w:rsid w:val="00171E87"/>
    <w:rsid w:val="00172798"/>
    <w:rsid w:val="001731E6"/>
    <w:rsid w:val="00173378"/>
    <w:rsid w:val="001741B3"/>
    <w:rsid w:val="00174422"/>
    <w:rsid w:val="00174DAD"/>
    <w:rsid w:val="00175660"/>
    <w:rsid w:val="00175F70"/>
    <w:rsid w:val="001767A2"/>
    <w:rsid w:val="0017783B"/>
    <w:rsid w:val="00177981"/>
    <w:rsid w:val="00180EB2"/>
    <w:rsid w:val="00181635"/>
    <w:rsid w:val="00182164"/>
    <w:rsid w:val="0018241F"/>
    <w:rsid w:val="001826C0"/>
    <w:rsid w:val="00182C6A"/>
    <w:rsid w:val="00183567"/>
    <w:rsid w:val="00183A68"/>
    <w:rsid w:val="001846BB"/>
    <w:rsid w:val="00184E5F"/>
    <w:rsid w:val="00185251"/>
    <w:rsid w:val="00185450"/>
    <w:rsid w:val="00185AED"/>
    <w:rsid w:val="001861FF"/>
    <w:rsid w:val="001862B8"/>
    <w:rsid w:val="0018638B"/>
    <w:rsid w:val="00187484"/>
    <w:rsid w:val="00187B5F"/>
    <w:rsid w:val="00190C81"/>
    <w:rsid w:val="00191174"/>
    <w:rsid w:val="00191C2C"/>
    <w:rsid w:val="00191E27"/>
    <w:rsid w:val="00192442"/>
    <w:rsid w:val="00193C59"/>
    <w:rsid w:val="00194907"/>
    <w:rsid w:val="00194F8B"/>
    <w:rsid w:val="001954C6"/>
    <w:rsid w:val="0019564C"/>
    <w:rsid w:val="001956F3"/>
    <w:rsid w:val="001958B5"/>
    <w:rsid w:val="00195B2F"/>
    <w:rsid w:val="00196227"/>
    <w:rsid w:val="00196957"/>
    <w:rsid w:val="00196E51"/>
    <w:rsid w:val="0019752E"/>
    <w:rsid w:val="00197D96"/>
    <w:rsid w:val="001A0FDA"/>
    <w:rsid w:val="001A1E55"/>
    <w:rsid w:val="001A2B63"/>
    <w:rsid w:val="001A5068"/>
    <w:rsid w:val="001A5309"/>
    <w:rsid w:val="001A5B21"/>
    <w:rsid w:val="001A6464"/>
    <w:rsid w:val="001A7187"/>
    <w:rsid w:val="001A72F7"/>
    <w:rsid w:val="001A737F"/>
    <w:rsid w:val="001B00C4"/>
    <w:rsid w:val="001B0D56"/>
    <w:rsid w:val="001B12EF"/>
    <w:rsid w:val="001B1BB4"/>
    <w:rsid w:val="001B1FEB"/>
    <w:rsid w:val="001B2D74"/>
    <w:rsid w:val="001B357D"/>
    <w:rsid w:val="001B365A"/>
    <w:rsid w:val="001B3A86"/>
    <w:rsid w:val="001B4723"/>
    <w:rsid w:val="001B4BC7"/>
    <w:rsid w:val="001B5388"/>
    <w:rsid w:val="001B58B4"/>
    <w:rsid w:val="001B6436"/>
    <w:rsid w:val="001B6A91"/>
    <w:rsid w:val="001C00C2"/>
    <w:rsid w:val="001C08D2"/>
    <w:rsid w:val="001C09C2"/>
    <w:rsid w:val="001C09DA"/>
    <w:rsid w:val="001C1042"/>
    <w:rsid w:val="001C1247"/>
    <w:rsid w:val="001C1687"/>
    <w:rsid w:val="001C2314"/>
    <w:rsid w:val="001C2DAC"/>
    <w:rsid w:val="001C3415"/>
    <w:rsid w:val="001C36ED"/>
    <w:rsid w:val="001C3DDC"/>
    <w:rsid w:val="001C3EFF"/>
    <w:rsid w:val="001C4B82"/>
    <w:rsid w:val="001C4C2D"/>
    <w:rsid w:val="001C611A"/>
    <w:rsid w:val="001C7A6B"/>
    <w:rsid w:val="001C7B81"/>
    <w:rsid w:val="001D0496"/>
    <w:rsid w:val="001D09CE"/>
    <w:rsid w:val="001D0B14"/>
    <w:rsid w:val="001D0BC6"/>
    <w:rsid w:val="001D0CD9"/>
    <w:rsid w:val="001D0E10"/>
    <w:rsid w:val="001D0F9A"/>
    <w:rsid w:val="001D159B"/>
    <w:rsid w:val="001D1E4E"/>
    <w:rsid w:val="001D298E"/>
    <w:rsid w:val="001D2BCA"/>
    <w:rsid w:val="001D2C2E"/>
    <w:rsid w:val="001D3AFD"/>
    <w:rsid w:val="001D3E21"/>
    <w:rsid w:val="001D3E7C"/>
    <w:rsid w:val="001D4D09"/>
    <w:rsid w:val="001D575D"/>
    <w:rsid w:val="001D5782"/>
    <w:rsid w:val="001D58DE"/>
    <w:rsid w:val="001D6B6A"/>
    <w:rsid w:val="001D6EA9"/>
    <w:rsid w:val="001D6ED6"/>
    <w:rsid w:val="001E1002"/>
    <w:rsid w:val="001E22C7"/>
    <w:rsid w:val="001E26B7"/>
    <w:rsid w:val="001E2CE6"/>
    <w:rsid w:val="001E31FD"/>
    <w:rsid w:val="001E4517"/>
    <w:rsid w:val="001E4A13"/>
    <w:rsid w:val="001E5EC8"/>
    <w:rsid w:val="001E66C2"/>
    <w:rsid w:val="001E758F"/>
    <w:rsid w:val="001F0725"/>
    <w:rsid w:val="001F1014"/>
    <w:rsid w:val="001F1AF2"/>
    <w:rsid w:val="001F29D1"/>
    <w:rsid w:val="001F3404"/>
    <w:rsid w:val="001F384C"/>
    <w:rsid w:val="001F39BF"/>
    <w:rsid w:val="001F447A"/>
    <w:rsid w:val="001F55AB"/>
    <w:rsid w:val="001F5BE2"/>
    <w:rsid w:val="001F5CC8"/>
    <w:rsid w:val="001F695B"/>
    <w:rsid w:val="001F7D78"/>
    <w:rsid w:val="00200598"/>
    <w:rsid w:val="00201184"/>
    <w:rsid w:val="00202EAB"/>
    <w:rsid w:val="002037CD"/>
    <w:rsid w:val="00203B81"/>
    <w:rsid w:val="00204275"/>
    <w:rsid w:val="002044AF"/>
    <w:rsid w:val="00204A8F"/>
    <w:rsid w:val="00205D2E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A66"/>
    <w:rsid w:val="00212D62"/>
    <w:rsid w:val="002130CE"/>
    <w:rsid w:val="00213A43"/>
    <w:rsid w:val="0021552B"/>
    <w:rsid w:val="00215E43"/>
    <w:rsid w:val="00215EF5"/>
    <w:rsid w:val="0021756E"/>
    <w:rsid w:val="00220147"/>
    <w:rsid w:val="00220A6C"/>
    <w:rsid w:val="002210DB"/>
    <w:rsid w:val="00221397"/>
    <w:rsid w:val="002217C8"/>
    <w:rsid w:val="00222171"/>
    <w:rsid w:val="00222186"/>
    <w:rsid w:val="00222702"/>
    <w:rsid w:val="00222F8A"/>
    <w:rsid w:val="00223495"/>
    <w:rsid w:val="00223AA6"/>
    <w:rsid w:val="00223CB4"/>
    <w:rsid w:val="00224D01"/>
    <w:rsid w:val="0022556F"/>
    <w:rsid w:val="00225585"/>
    <w:rsid w:val="00225DB0"/>
    <w:rsid w:val="002269FB"/>
    <w:rsid w:val="00226FB4"/>
    <w:rsid w:val="0022759D"/>
    <w:rsid w:val="00227BAB"/>
    <w:rsid w:val="00230826"/>
    <w:rsid w:val="00230DB7"/>
    <w:rsid w:val="00231F9D"/>
    <w:rsid w:val="00231FF1"/>
    <w:rsid w:val="00232C1C"/>
    <w:rsid w:val="00232D5F"/>
    <w:rsid w:val="00233B12"/>
    <w:rsid w:val="00233B3D"/>
    <w:rsid w:val="00233EB2"/>
    <w:rsid w:val="002347FE"/>
    <w:rsid w:val="00234826"/>
    <w:rsid w:val="00234F31"/>
    <w:rsid w:val="00235897"/>
    <w:rsid w:val="00235A9B"/>
    <w:rsid w:val="00235B96"/>
    <w:rsid w:val="00235F3F"/>
    <w:rsid w:val="002361E9"/>
    <w:rsid w:val="00236946"/>
    <w:rsid w:val="00236FD8"/>
    <w:rsid w:val="00237B00"/>
    <w:rsid w:val="002404FE"/>
    <w:rsid w:val="0024072C"/>
    <w:rsid w:val="00240C86"/>
    <w:rsid w:val="00241ABA"/>
    <w:rsid w:val="00242FBD"/>
    <w:rsid w:val="002430EC"/>
    <w:rsid w:val="00243B20"/>
    <w:rsid w:val="00244161"/>
    <w:rsid w:val="002452AD"/>
    <w:rsid w:val="0024690B"/>
    <w:rsid w:val="002503D0"/>
    <w:rsid w:val="0025045C"/>
    <w:rsid w:val="00252245"/>
    <w:rsid w:val="00252F61"/>
    <w:rsid w:val="00253B0C"/>
    <w:rsid w:val="00253FA2"/>
    <w:rsid w:val="0025439C"/>
    <w:rsid w:val="00254AA4"/>
    <w:rsid w:val="0025592A"/>
    <w:rsid w:val="00255CCD"/>
    <w:rsid w:val="00256374"/>
    <w:rsid w:val="00256378"/>
    <w:rsid w:val="002604DF"/>
    <w:rsid w:val="00260DA5"/>
    <w:rsid w:val="0026139F"/>
    <w:rsid w:val="00261554"/>
    <w:rsid w:val="00261BB5"/>
    <w:rsid w:val="00262ACF"/>
    <w:rsid w:val="00262F99"/>
    <w:rsid w:val="002637E1"/>
    <w:rsid w:val="00263B30"/>
    <w:rsid w:val="00263D0A"/>
    <w:rsid w:val="002642F6"/>
    <w:rsid w:val="002647BF"/>
    <w:rsid w:val="00265E31"/>
    <w:rsid w:val="0026610F"/>
    <w:rsid w:val="00266911"/>
    <w:rsid w:val="00266B71"/>
    <w:rsid w:val="002673AA"/>
    <w:rsid w:val="00267E42"/>
    <w:rsid w:val="00267E5D"/>
    <w:rsid w:val="002709BA"/>
    <w:rsid w:val="002715FE"/>
    <w:rsid w:val="00271B3B"/>
    <w:rsid w:val="0027303B"/>
    <w:rsid w:val="00273EDA"/>
    <w:rsid w:val="00274120"/>
    <w:rsid w:val="002741FD"/>
    <w:rsid w:val="0027436B"/>
    <w:rsid w:val="00274CC1"/>
    <w:rsid w:val="00274D0A"/>
    <w:rsid w:val="00275AD0"/>
    <w:rsid w:val="00275EC4"/>
    <w:rsid w:val="002763C9"/>
    <w:rsid w:val="00277CDA"/>
    <w:rsid w:val="00277E66"/>
    <w:rsid w:val="00280B5A"/>
    <w:rsid w:val="00280E00"/>
    <w:rsid w:val="00280E61"/>
    <w:rsid w:val="00280EAD"/>
    <w:rsid w:val="00281F46"/>
    <w:rsid w:val="002830C4"/>
    <w:rsid w:val="00283154"/>
    <w:rsid w:val="0028317C"/>
    <w:rsid w:val="00284484"/>
    <w:rsid w:val="00284C90"/>
    <w:rsid w:val="002862B2"/>
    <w:rsid w:val="00286FD1"/>
    <w:rsid w:val="00287660"/>
    <w:rsid w:val="0028781E"/>
    <w:rsid w:val="00287F24"/>
    <w:rsid w:val="00290473"/>
    <w:rsid w:val="00290633"/>
    <w:rsid w:val="00291CA6"/>
    <w:rsid w:val="00291EBD"/>
    <w:rsid w:val="00292AD7"/>
    <w:rsid w:val="00294229"/>
    <w:rsid w:val="00294AAC"/>
    <w:rsid w:val="00294B82"/>
    <w:rsid w:val="00296E49"/>
    <w:rsid w:val="00296E6A"/>
    <w:rsid w:val="0029719A"/>
    <w:rsid w:val="0029732B"/>
    <w:rsid w:val="00297AE5"/>
    <w:rsid w:val="00297D46"/>
    <w:rsid w:val="002A0A7A"/>
    <w:rsid w:val="002A1EA9"/>
    <w:rsid w:val="002A2C87"/>
    <w:rsid w:val="002A3221"/>
    <w:rsid w:val="002A3597"/>
    <w:rsid w:val="002A3F0C"/>
    <w:rsid w:val="002A5481"/>
    <w:rsid w:val="002A59DE"/>
    <w:rsid w:val="002A64A4"/>
    <w:rsid w:val="002A6EFC"/>
    <w:rsid w:val="002A7960"/>
    <w:rsid w:val="002B11A4"/>
    <w:rsid w:val="002B15B7"/>
    <w:rsid w:val="002B167D"/>
    <w:rsid w:val="002B1B3E"/>
    <w:rsid w:val="002B4039"/>
    <w:rsid w:val="002B41BA"/>
    <w:rsid w:val="002B48A6"/>
    <w:rsid w:val="002B4DE6"/>
    <w:rsid w:val="002B616F"/>
    <w:rsid w:val="002B6380"/>
    <w:rsid w:val="002B73BD"/>
    <w:rsid w:val="002B7581"/>
    <w:rsid w:val="002C0049"/>
    <w:rsid w:val="002C05E4"/>
    <w:rsid w:val="002C05FD"/>
    <w:rsid w:val="002C0DC2"/>
    <w:rsid w:val="002C1220"/>
    <w:rsid w:val="002C165A"/>
    <w:rsid w:val="002C1D75"/>
    <w:rsid w:val="002C378D"/>
    <w:rsid w:val="002C3A57"/>
    <w:rsid w:val="002C3F3C"/>
    <w:rsid w:val="002C4005"/>
    <w:rsid w:val="002C43BE"/>
    <w:rsid w:val="002C6137"/>
    <w:rsid w:val="002C67C9"/>
    <w:rsid w:val="002C6B6B"/>
    <w:rsid w:val="002C7F6E"/>
    <w:rsid w:val="002D0B10"/>
    <w:rsid w:val="002D0E7F"/>
    <w:rsid w:val="002D0FCF"/>
    <w:rsid w:val="002D1081"/>
    <w:rsid w:val="002D10E3"/>
    <w:rsid w:val="002D11C7"/>
    <w:rsid w:val="002D1DCD"/>
    <w:rsid w:val="002D22F8"/>
    <w:rsid w:val="002D237C"/>
    <w:rsid w:val="002D2C13"/>
    <w:rsid w:val="002D3926"/>
    <w:rsid w:val="002D3AB8"/>
    <w:rsid w:val="002D416E"/>
    <w:rsid w:val="002D44F1"/>
    <w:rsid w:val="002D470D"/>
    <w:rsid w:val="002D61E7"/>
    <w:rsid w:val="002D620E"/>
    <w:rsid w:val="002D62F2"/>
    <w:rsid w:val="002D6305"/>
    <w:rsid w:val="002D71D1"/>
    <w:rsid w:val="002D7209"/>
    <w:rsid w:val="002E014C"/>
    <w:rsid w:val="002E0B98"/>
    <w:rsid w:val="002E1513"/>
    <w:rsid w:val="002E15BC"/>
    <w:rsid w:val="002E1841"/>
    <w:rsid w:val="002E1926"/>
    <w:rsid w:val="002E253A"/>
    <w:rsid w:val="002E33BB"/>
    <w:rsid w:val="002E3567"/>
    <w:rsid w:val="002E37FA"/>
    <w:rsid w:val="002E3CB2"/>
    <w:rsid w:val="002E3DD9"/>
    <w:rsid w:val="002E3FC2"/>
    <w:rsid w:val="002E51AC"/>
    <w:rsid w:val="002E55B8"/>
    <w:rsid w:val="002E5A73"/>
    <w:rsid w:val="002E5E9C"/>
    <w:rsid w:val="002E6052"/>
    <w:rsid w:val="002E6DA4"/>
    <w:rsid w:val="002F0270"/>
    <w:rsid w:val="002F0BAC"/>
    <w:rsid w:val="002F0C29"/>
    <w:rsid w:val="002F0D62"/>
    <w:rsid w:val="002F2499"/>
    <w:rsid w:val="002F2681"/>
    <w:rsid w:val="002F2A96"/>
    <w:rsid w:val="002F2E87"/>
    <w:rsid w:val="002F30C5"/>
    <w:rsid w:val="002F335C"/>
    <w:rsid w:val="002F336B"/>
    <w:rsid w:val="002F40AF"/>
    <w:rsid w:val="002F45AA"/>
    <w:rsid w:val="002F5088"/>
    <w:rsid w:val="002F5127"/>
    <w:rsid w:val="002F5305"/>
    <w:rsid w:val="002F543F"/>
    <w:rsid w:val="002F54C1"/>
    <w:rsid w:val="002F5893"/>
    <w:rsid w:val="002F5C46"/>
    <w:rsid w:val="002F5EAC"/>
    <w:rsid w:val="002F6A4A"/>
    <w:rsid w:val="002F6D2B"/>
    <w:rsid w:val="002F70B4"/>
    <w:rsid w:val="002F71F0"/>
    <w:rsid w:val="002F761C"/>
    <w:rsid w:val="00301593"/>
    <w:rsid w:val="00302092"/>
    <w:rsid w:val="00302794"/>
    <w:rsid w:val="0030415F"/>
    <w:rsid w:val="003042B4"/>
    <w:rsid w:val="003042B5"/>
    <w:rsid w:val="003044F6"/>
    <w:rsid w:val="0030594D"/>
    <w:rsid w:val="00306BFC"/>
    <w:rsid w:val="0031017D"/>
    <w:rsid w:val="00310641"/>
    <w:rsid w:val="00310E77"/>
    <w:rsid w:val="00311210"/>
    <w:rsid w:val="003119A2"/>
    <w:rsid w:val="00312495"/>
    <w:rsid w:val="00312643"/>
    <w:rsid w:val="003137CF"/>
    <w:rsid w:val="00313C1D"/>
    <w:rsid w:val="00313E1A"/>
    <w:rsid w:val="0031425C"/>
    <w:rsid w:val="0031677B"/>
    <w:rsid w:val="00316CE2"/>
    <w:rsid w:val="00316EB0"/>
    <w:rsid w:val="00317356"/>
    <w:rsid w:val="003174FD"/>
    <w:rsid w:val="003203E7"/>
    <w:rsid w:val="00320404"/>
    <w:rsid w:val="00320814"/>
    <w:rsid w:val="0032131B"/>
    <w:rsid w:val="00321A45"/>
    <w:rsid w:val="00321E3E"/>
    <w:rsid w:val="00322BC1"/>
    <w:rsid w:val="0032491B"/>
    <w:rsid w:val="0032548F"/>
    <w:rsid w:val="00325506"/>
    <w:rsid w:val="00325674"/>
    <w:rsid w:val="00325B5C"/>
    <w:rsid w:val="00325E31"/>
    <w:rsid w:val="00325FB4"/>
    <w:rsid w:val="003264A6"/>
    <w:rsid w:val="00327A27"/>
    <w:rsid w:val="00327A6C"/>
    <w:rsid w:val="00330796"/>
    <w:rsid w:val="00330B66"/>
    <w:rsid w:val="00330EEF"/>
    <w:rsid w:val="00331A0D"/>
    <w:rsid w:val="00331C03"/>
    <w:rsid w:val="00331E7A"/>
    <w:rsid w:val="00333055"/>
    <w:rsid w:val="00333D4A"/>
    <w:rsid w:val="00333FEF"/>
    <w:rsid w:val="00334010"/>
    <w:rsid w:val="00334022"/>
    <w:rsid w:val="00334041"/>
    <w:rsid w:val="00334AF0"/>
    <w:rsid w:val="003365AA"/>
    <w:rsid w:val="00340640"/>
    <w:rsid w:val="003406D0"/>
    <w:rsid w:val="00340739"/>
    <w:rsid w:val="00340F98"/>
    <w:rsid w:val="00341356"/>
    <w:rsid w:val="00342050"/>
    <w:rsid w:val="00342ACC"/>
    <w:rsid w:val="003433A8"/>
    <w:rsid w:val="00344B69"/>
    <w:rsid w:val="00345F45"/>
    <w:rsid w:val="0034626C"/>
    <w:rsid w:val="003463D3"/>
    <w:rsid w:val="00347F28"/>
    <w:rsid w:val="00350628"/>
    <w:rsid w:val="00350B3A"/>
    <w:rsid w:val="003512AA"/>
    <w:rsid w:val="00351457"/>
    <w:rsid w:val="003515ED"/>
    <w:rsid w:val="00351787"/>
    <w:rsid w:val="00352009"/>
    <w:rsid w:val="003521F1"/>
    <w:rsid w:val="00352DDA"/>
    <w:rsid w:val="003532F4"/>
    <w:rsid w:val="00355954"/>
    <w:rsid w:val="0035660D"/>
    <w:rsid w:val="00356908"/>
    <w:rsid w:val="00357EFE"/>
    <w:rsid w:val="00360A86"/>
    <w:rsid w:val="00360CE6"/>
    <w:rsid w:val="00362C15"/>
    <w:rsid w:val="00362D1D"/>
    <w:rsid w:val="00362F35"/>
    <w:rsid w:val="003633A7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4A0D"/>
    <w:rsid w:val="00376762"/>
    <w:rsid w:val="0037704B"/>
    <w:rsid w:val="003772A8"/>
    <w:rsid w:val="0038045B"/>
    <w:rsid w:val="00381236"/>
    <w:rsid w:val="003816A0"/>
    <w:rsid w:val="0038204C"/>
    <w:rsid w:val="0038227D"/>
    <w:rsid w:val="00382397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29B8"/>
    <w:rsid w:val="00393FC4"/>
    <w:rsid w:val="0039495A"/>
    <w:rsid w:val="0039512E"/>
    <w:rsid w:val="0039552D"/>
    <w:rsid w:val="003955C9"/>
    <w:rsid w:val="00395C24"/>
    <w:rsid w:val="00395F97"/>
    <w:rsid w:val="003960F7"/>
    <w:rsid w:val="003A042B"/>
    <w:rsid w:val="003A098C"/>
    <w:rsid w:val="003A0D3C"/>
    <w:rsid w:val="003A1B71"/>
    <w:rsid w:val="003A1E2F"/>
    <w:rsid w:val="003A22C5"/>
    <w:rsid w:val="003A2310"/>
    <w:rsid w:val="003A2DCE"/>
    <w:rsid w:val="003A4BE7"/>
    <w:rsid w:val="003A5BD8"/>
    <w:rsid w:val="003A6402"/>
    <w:rsid w:val="003A6677"/>
    <w:rsid w:val="003A725A"/>
    <w:rsid w:val="003B2C95"/>
    <w:rsid w:val="003B2D09"/>
    <w:rsid w:val="003B3331"/>
    <w:rsid w:val="003B4162"/>
    <w:rsid w:val="003B4535"/>
    <w:rsid w:val="003B6554"/>
    <w:rsid w:val="003B666D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6388"/>
    <w:rsid w:val="003C6DD4"/>
    <w:rsid w:val="003C6F67"/>
    <w:rsid w:val="003C72DD"/>
    <w:rsid w:val="003C74E4"/>
    <w:rsid w:val="003C7D49"/>
    <w:rsid w:val="003C7EF4"/>
    <w:rsid w:val="003D0D21"/>
    <w:rsid w:val="003D1276"/>
    <w:rsid w:val="003D335B"/>
    <w:rsid w:val="003D37C5"/>
    <w:rsid w:val="003D41F0"/>
    <w:rsid w:val="003D454D"/>
    <w:rsid w:val="003D4E12"/>
    <w:rsid w:val="003D5A35"/>
    <w:rsid w:val="003D680A"/>
    <w:rsid w:val="003D7354"/>
    <w:rsid w:val="003D7B08"/>
    <w:rsid w:val="003E075C"/>
    <w:rsid w:val="003E3296"/>
    <w:rsid w:val="003E3D54"/>
    <w:rsid w:val="003E4A1A"/>
    <w:rsid w:val="003E5312"/>
    <w:rsid w:val="003E531D"/>
    <w:rsid w:val="003E56EA"/>
    <w:rsid w:val="003E6373"/>
    <w:rsid w:val="003E6779"/>
    <w:rsid w:val="003E7B80"/>
    <w:rsid w:val="003F002B"/>
    <w:rsid w:val="003F00D9"/>
    <w:rsid w:val="003F0943"/>
    <w:rsid w:val="003F15FB"/>
    <w:rsid w:val="003F3D33"/>
    <w:rsid w:val="003F5453"/>
    <w:rsid w:val="003F54D8"/>
    <w:rsid w:val="003F586E"/>
    <w:rsid w:val="003F6297"/>
    <w:rsid w:val="003F65DB"/>
    <w:rsid w:val="003F6C32"/>
    <w:rsid w:val="003F6D2A"/>
    <w:rsid w:val="003F7141"/>
    <w:rsid w:val="003F72FF"/>
    <w:rsid w:val="003F7E24"/>
    <w:rsid w:val="004000E5"/>
    <w:rsid w:val="00400E28"/>
    <w:rsid w:val="0040168C"/>
    <w:rsid w:val="00401B1C"/>
    <w:rsid w:val="00401F75"/>
    <w:rsid w:val="00402637"/>
    <w:rsid w:val="00402917"/>
    <w:rsid w:val="00402EF4"/>
    <w:rsid w:val="00403CE4"/>
    <w:rsid w:val="00403FF5"/>
    <w:rsid w:val="004041B7"/>
    <w:rsid w:val="00404724"/>
    <w:rsid w:val="00404CDD"/>
    <w:rsid w:val="00404D11"/>
    <w:rsid w:val="00404DC3"/>
    <w:rsid w:val="00405057"/>
    <w:rsid w:val="00405D14"/>
    <w:rsid w:val="00405DA6"/>
    <w:rsid w:val="00406F5E"/>
    <w:rsid w:val="004071FE"/>
    <w:rsid w:val="00407798"/>
    <w:rsid w:val="00407EDC"/>
    <w:rsid w:val="0041067C"/>
    <w:rsid w:val="00410DFF"/>
    <w:rsid w:val="00411110"/>
    <w:rsid w:val="00411D1B"/>
    <w:rsid w:val="00412423"/>
    <w:rsid w:val="00413795"/>
    <w:rsid w:val="004144E9"/>
    <w:rsid w:val="00414B08"/>
    <w:rsid w:val="00415949"/>
    <w:rsid w:val="004167D6"/>
    <w:rsid w:val="00417A3F"/>
    <w:rsid w:val="00417F5B"/>
    <w:rsid w:val="00420CD5"/>
    <w:rsid w:val="004216D4"/>
    <w:rsid w:val="00422581"/>
    <w:rsid w:val="00422632"/>
    <w:rsid w:val="00422A0F"/>
    <w:rsid w:val="0042392C"/>
    <w:rsid w:val="00423FFC"/>
    <w:rsid w:val="004249F8"/>
    <w:rsid w:val="00424C48"/>
    <w:rsid w:val="00424FB0"/>
    <w:rsid w:val="00425129"/>
    <w:rsid w:val="004256CF"/>
    <w:rsid w:val="00425772"/>
    <w:rsid w:val="00425BE8"/>
    <w:rsid w:val="00425C45"/>
    <w:rsid w:val="00426510"/>
    <w:rsid w:val="004270D3"/>
    <w:rsid w:val="00427382"/>
    <w:rsid w:val="004312CF"/>
    <w:rsid w:val="004317A7"/>
    <w:rsid w:val="00431995"/>
    <w:rsid w:val="00431EAF"/>
    <w:rsid w:val="0043261E"/>
    <w:rsid w:val="00432B0E"/>
    <w:rsid w:val="00432CF9"/>
    <w:rsid w:val="00434697"/>
    <w:rsid w:val="00434AC2"/>
    <w:rsid w:val="00434BE6"/>
    <w:rsid w:val="00435298"/>
    <w:rsid w:val="004355B5"/>
    <w:rsid w:val="00436442"/>
    <w:rsid w:val="00436E54"/>
    <w:rsid w:val="004402F9"/>
    <w:rsid w:val="00440728"/>
    <w:rsid w:val="00440C0B"/>
    <w:rsid w:val="00440C1F"/>
    <w:rsid w:val="00441082"/>
    <w:rsid w:val="004412A2"/>
    <w:rsid w:val="00441A43"/>
    <w:rsid w:val="00441F4C"/>
    <w:rsid w:val="004437AA"/>
    <w:rsid w:val="00443C8E"/>
    <w:rsid w:val="004444B8"/>
    <w:rsid w:val="00444534"/>
    <w:rsid w:val="00444EF7"/>
    <w:rsid w:val="004457C6"/>
    <w:rsid w:val="00445A99"/>
    <w:rsid w:val="00446216"/>
    <w:rsid w:val="00447F43"/>
    <w:rsid w:val="004507FB"/>
    <w:rsid w:val="00450AC7"/>
    <w:rsid w:val="00451866"/>
    <w:rsid w:val="00452119"/>
    <w:rsid w:val="00453472"/>
    <w:rsid w:val="0045357E"/>
    <w:rsid w:val="00453A75"/>
    <w:rsid w:val="004551B8"/>
    <w:rsid w:val="004557C8"/>
    <w:rsid w:val="0045685F"/>
    <w:rsid w:val="00456D3F"/>
    <w:rsid w:val="00457E2A"/>
    <w:rsid w:val="004606AA"/>
    <w:rsid w:val="00460773"/>
    <w:rsid w:val="00460C1B"/>
    <w:rsid w:val="004616E5"/>
    <w:rsid w:val="0046174A"/>
    <w:rsid w:val="00461B89"/>
    <w:rsid w:val="00462F48"/>
    <w:rsid w:val="00462F54"/>
    <w:rsid w:val="004633B1"/>
    <w:rsid w:val="00464338"/>
    <w:rsid w:val="00465458"/>
    <w:rsid w:val="004663BA"/>
    <w:rsid w:val="00466811"/>
    <w:rsid w:val="00470D48"/>
    <w:rsid w:val="0047122E"/>
    <w:rsid w:val="0047161A"/>
    <w:rsid w:val="00472ABA"/>
    <w:rsid w:val="00473B43"/>
    <w:rsid w:val="0047421B"/>
    <w:rsid w:val="00475676"/>
    <w:rsid w:val="00476394"/>
    <w:rsid w:val="00476714"/>
    <w:rsid w:val="004769CE"/>
    <w:rsid w:val="00476C14"/>
    <w:rsid w:val="00477207"/>
    <w:rsid w:val="004775AA"/>
    <w:rsid w:val="00480373"/>
    <w:rsid w:val="0048058E"/>
    <w:rsid w:val="00481EBF"/>
    <w:rsid w:val="00482491"/>
    <w:rsid w:val="00482566"/>
    <w:rsid w:val="00482DFF"/>
    <w:rsid w:val="00484BA9"/>
    <w:rsid w:val="00485827"/>
    <w:rsid w:val="00485DC8"/>
    <w:rsid w:val="00486958"/>
    <w:rsid w:val="00487B6B"/>
    <w:rsid w:val="00487E63"/>
    <w:rsid w:val="0049025C"/>
    <w:rsid w:val="00490832"/>
    <w:rsid w:val="00490EC1"/>
    <w:rsid w:val="00490FFC"/>
    <w:rsid w:val="004916A7"/>
    <w:rsid w:val="00491B88"/>
    <w:rsid w:val="004923D5"/>
    <w:rsid w:val="00492452"/>
    <w:rsid w:val="004925F4"/>
    <w:rsid w:val="004941E4"/>
    <w:rsid w:val="0049503A"/>
    <w:rsid w:val="00495095"/>
    <w:rsid w:val="00495B7D"/>
    <w:rsid w:val="0049685A"/>
    <w:rsid w:val="004977C6"/>
    <w:rsid w:val="004A0512"/>
    <w:rsid w:val="004A1926"/>
    <w:rsid w:val="004A208A"/>
    <w:rsid w:val="004A2564"/>
    <w:rsid w:val="004A2BD1"/>
    <w:rsid w:val="004A47CE"/>
    <w:rsid w:val="004A4A4F"/>
    <w:rsid w:val="004A4BC2"/>
    <w:rsid w:val="004A5376"/>
    <w:rsid w:val="004A564E"/>
    <w:rsid w:val="004A5E44"/>
    <w:rsid w:val="004A64E6"/>
    <w:rsid w:val="004A6959"/>
    <w:rsid w:val="004A77A5"/>
    <w:rsid w:val="004A7DA3"/>
    <w:rsid w:val="004A7EEA"/>
    <w:rsid w:val="004B041D"/>
    <w:rsid w:val="004B0EAE"/>
    <w:rsid w:val="004B1138"/>
    <w:rsid w:val="004B1DB2"/>
    <w:rsid w:val="004B2741"/>
    <w:rsid w:val="004B2D9A"/>
    <w:rsid w:val="004B3F42"/>
    <w:rsid w:val="004B42CA"/>
    <w:rsid w:val="004B43A9"/>
    <w:rsid w:val="004B4C40"/>
    <w:rsid w:val="004B4DBD"/>
    <w:rsid w:val="004B4FAC"/>
    <w:rsid w:val="004B5055"/>
    <w:rsid w:val="004B5498"/>
    <w:rsid w:val="004B5B74"/>
    <w:rsid w:val="004B5D62"/>
    <w:rsid w:val="004B7938"/>
    <w:rsid w:val="004C09FE"/>
    <w:rsid w:val="004C27B0"/>
    <w:rsid w:val="004C3818"/>
    <w:rsid w:val="004C4861"/>
    <w:rsid w:val="004C4DDA"/>
    <w:rsid w:val="004C50AB"/>
    <w:rsid w:val="004C57A0"/>
    <w:rsid w:val="004C588E"/>
    <w:rsid w:val="004C594C"/>
    <w:rsid w:val="004C622D"/>
    <w:rsid w:val="004C72A4"/>
    <w:rsid w:val="004C7744"/>
    <w:rsid w:val="004C7971"/>
    <w:rsid w:val="004D04B8"/>
    <w:rsid w:val="004D1191"/>
    <w:rsid w:val="004D1B38"/>
    <w:rsid w:val="004D2190"/>
    <w:rsid w:val="004D33DE"/>
    <w:rsid w:val="004D3F34"/>
    <w:rsid w:val="004D3F7C"/>
    <w:rsid w:val="004D42A1"/>
    <w:rsid w:val="004D44C7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014"/>
    <w:rsid w:val="004E0B8E"/>
    <w:rsid w:val="004E0DDC"/>
    <w:rsid w:val="004E13C1"/>
    <w:rsid w:val="004E2938"/>
    <w:rsid w:val="004E2998"/>
    <w:rsid w:val="004E3147"/>
    <w:rsid w:val="004E32B3"/>
    <w:rsid w:val="004E32FE"/>
    <w:rsid w:val="004E33BE"/>
    <w:rsid w:val="004E3996"/>
    <w:rsid w:val="004E420E"/>
    <w:rsid w:val="004E4FBB"/>
    <w:rsid w:val="004E5DC6"/>
    <w:rsid w:val="004E777C"/>
    <w:rsid w:val="004F057E"/>
    <w:rsid w:val="004F0581"/>
    <w:rsid w:val="004F0BB0"/>
    <w:rsid w:val="004F0D6F"/>
    <w:rsid w:val="004F108D"/>
    <w:rsid w:val="004F10B7"/>
    <w:rsid w:val="004F3201"/>
    <w:rsid w:val="004F4460"/>
    <w:rsid w:val="004F536D"/>
    <w:rsid w:val="004F6A8A"/>
    <w:rsid w:val="004F768A"/>
    <w:rsid w:val="0050030C"/>
    <w:rsid w:val="00501055"/>
    <w:rsid w:val="00501C5D"/>
    <w:rsid w:val="00502A1D"/>
    <w:rsid w:val="005042A3"/>
    <w:rsid w:val="005049B2"/>
    <w:rsid w:val="00504FE7"/>
    <w:rsid w:val="00505198"/>
    <w:rsid w:val="00505574"/>
    <w:rsid w:val="00505640"/>
    <w:rsid w:val="005066A4"/>
    <w:rsid w:val="00506B59"/>
    <w:rsid w:val="005073BB"/>
    <w:rsid w:val="00507848"/>
    <w:rsid w:val="00507FC3"/>
    <w:rsid w:val="005103A6"/>
    <w:rsid w:val="005116F0"/>
    <w:rsid w:val="00511C07"/>
    <w:rsid w:val="005124F4"/>
    <w:rsid w:val="005125FC"/>
    <w:rsid w:val="00513056"/>
    <w:rsid w:val="0051355E"/>
    <w:rsid w:val="005136B4"/>
    <w:rsid w:val="00513759"/>
    <w:rsid w:val="00514D4D"/>
    <w:rsid w:val="005156CC"/>
    <w:rsid w:val="005163E4"/>
    <w:rsid w:val="0051690C"/>
    <w:rsid w:val="00516A8A"/>
    <w:rsid w:val="00516D4F"/>
    <w:rsid w:val="005175A8"/>
    <w:rsid w:val="0051779E"/>
    <w:rsid w:val="00520751"/>
    <w:rsid w:val="00520DF6"/>
    <w:rsid w:val="0052105D"/>
    <w:rsid w:val="00521792"/>
    <w:rsid w:val="005219CA"/>
    <w:rsid w:val="00521EE6"/>
    <w:rsid w:val="00521FE3"/>
    <w:rsid w:val="005222E4"/>
    <w:rsid w:val="00522462"/>
    <w:rsid w:val="00522495"/>
    <w:rsid w:val="00524B40"/>
    <w:rsid w:val="00524B6A"/>
    <w:rsid w:val="00524D5A"/>
    <w:rsid w:val="005253D9"/>
    <w:rsid w:val="00525487"/>
    <w:rsid w:val="00525548"/>
    <w:rsid w:val="0052573B"/>
    <w:rsid w:val="00525831"/>
    <w:rsid w:val="00525B8A"/>
    <w:rsid w:val="00526FEF"/>
    <w:rsid w:val="00527D6B"/>
    <w:rsid w:val="005303DF"/>
    <w:rsid w:val="00530516"/>
    <w:rsid w:val="00531181"/>
    <w:rsid w:val="00531A31"/>
    <w:rsid w:val="0053231F"/>
    <w:rsid w:val="005324C5"/>
    <w:rsid w:val="00533BD8"/>
    <w:rsid w:val="005340C5"/>
    <w:rsid w:val="00534663"/>
    <w:rsid w:val="00534A7D"/>
    <w:rsid w:val="00534D8B"/>
    <w:rsid w:val="00536179"/>
    <w:rsid w:val="005362B0"/>
    <w:rsid w:val="005363D6"/>
    <w:rsid w:val="0053725D"/>
    <w:rsid w:val="00537403"/>
    <w:rsid w:val="0053768B"/>
    <w:rsid w:val="00537805"/>
    <w:rsid w:val="005378F2"/>
    <w:rsid w:val="005405A8"/>
    <w:rsid w:val="005407CA"/>
    <w:rsid w:val="00542520"/>
    <w:rsid w:val="00542A6F"/>
    <w:rsid w:val="00542CA9"/>
    <w:rsid w:val="005447D5"/>
    <w:rsid w:val="005448F0"/>
    <w:rsid w:val="00545B69"/>
    <w:rsid w:val="00546C86"/>
    <w:rsid w:val="00546CE2"/>
    <w:rsid w:val="00547004"/>
    <w:rsid w:val="005509A3"/>
    <w:rsid w:val="00550A95"/>
    <w:rsid w:val="00550FDC"/>
    <w:rsid w:val="00551E3B"/>
    <w:rsid w:val="005522FC"/>
    <w:rsid w:val="00552600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CD5"/>
    <w:rsid w:val="00562D10"/>
    <w:rsid w:val="00562F4F"/>
    <w:rsid w:val="00563074"/>
    <w:rsid w:val="00563136"/>
    <w:rsid w:val="0056319B"/>
    <w:rsid w:val="0056335A"/>
    <w:rsid w:val="00563AFA"/>
    <w:rsid w:val="005646F4"/>
    <w:rsid w:val="00565028"/>
    <w:rsid w:val="00565A2E"/>
    <w:rsid w:val="00565B14"/>
    <w:rsid w:val="00565C4E"/>
    <w:rsid w:val="005661BB"/>
    <w:rsid w:val="0056657E"/>
    <w:rsid w:val="005669D4"/>
    <w:rsid w:val="00567578"/>
    <w:rsid w:val="00567E17"/>
    <w:rsid w:val="005711C5"/>
    <w:rsid w:val="00571910"/>
    <w:rsid w:val="00571AE9"/>
    <w:rsid w:val="00571E10"/>
    <w:rsid w:val="00572B89"/>
    <w:rsid w:val="00572FF6"/>
    <w:rsid w:val="00574349"/>
    <w:rsid w:val="00574491"/>
    <w:rsid w:val="005746D6"/>
    <w:rsid w:val="0057659B"/>
    <w:rsid w:val="00576B65"/>
    <w:rsid w:val="00581C57"/>
    <w:rsid w:val="0058280E"/>
    <w:rsid w:val="00583636"/>
    <w:rsid w:val="005849EF"/>
    <w:rsid w:val="00584D64"/>
    <w:rsid w:val="00586014"/>
    <w:rsid w:val="0058693C"/>
    <w:rsid w:val="0058695F"/>
    <w:rsid w:val="00586C7B"/>
    <w:rsid w:val="005870B9"/>
    <w:rsid w:val="005871AA"/>
    <w:rsid w:val="00587C62"/>
    <w:rsid w:val="00590501"/>
    <w:rsid w:val="00590883"/>
    <w:rsid w:val="00590961"/>
    <w:rsid w:val="005915B6"/>
    <w:rsid w:val="005918A6"/>
    <w:rsid w:val="00591E0F"/>
    <w:rsid w:val="00592BC1"/>
    <w:rsid w:val="005945AC"/>
    <w:rsid w:val="005945ED"/>
    <w:rsid w:val="005954CC"/>
    <w:rsid w:val="00595520"/>
    <w:rsid w:val="00596C89"/>
    <w:rsid w:val="00596F4C"/>
    <w:rsid w:val="005975F0"/>
    <w:rsid w:val="00597648"/>
    <w:rsid w:val="005A0AEC"/>
    <w:rsid w:val="005A0F44"/>
    <w:rsid w:val="005A1D71"/>
    <w:rsid w:val="005A2A70"/>
    <w:rsid w:val="005A48A7"/>
    <w:rsid w:val="005A4AD7"/>
    <w:rsid w:val="005A5256"/>
    <w:rsid w:val="005A6C79"/>
    <w:rsid w:val="005A76F4"/>
    <w:rsid w:val="005B13BD"/>
    <w:rsid w:val="005B1543"/>
    <w:rsid w:val="005B203A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4D9"/>
    <w:rsid w:val="005B6E73"/>
    <w:rsid w:val="005C102F"/>
    <w:rsid w:val="005C13D6"/>
    <w:rsid w:val="005C18A2"/>
    <w:rsid w:val="005C3BC4"/>
    <w:rsid w:val="005C4B92"/>
    <w:rsid w:val="005C5379"/>
    <w:rsid w:val="005C552D"/>
    <w:rsid w:val="005C57C2"/>
    <w:rsid w:val="005C6048"/>
    <w:rsid w:val="005C6067"/>
    <w:rsid w:val="005C63EA"/>
    <w:rsid w:val="005C6B6D"/>
    <w:rsid w:val="005C6C7D"/>
    <w:rsid w:val="005C76CC"/>
    <w:rsid w:val="005C7B65"/>
    <w:rsid w:val="005D004E"/>
    <w:rsid w:val="005D126E"/>
    <w:rsid w:val="005D1722"/>
    <w:rsid w:val="005D1A50"/>
    <w:rsid w:val="005D1B72"/>
    <w:rsid w:val="005D2A96"/>
    <w:rsid w:val="005D2BB0"/>
    <w:rsid w:val="005D3556"/>
    <w:rsid w:val="005D36A0"/>
    <w:rsid w:val="005D36FA"/>
    <w:rsid w:val="005D3BF5"/>
    <w:rsid w:val="005D57AD"/>
    <w:rsid w:val="005D5E1D"/>
    <w:rsid w:val="005D6015"/>
    <w:rsid w:val="005D65C3"/>
    <w:rsid w:val="005D66EC"/>
    <w:rsid w:val="005D6D6C"/>
    <w:rsid w:val="005D6F74"/>
    <w:rsid w:val="005D7C25"/>
    <w:rsid w:val="005D7E7E"/>
    <w:rsid w:val="005E17D6"/>
    <w:rsid w:val="005E1FF9"/>
    <w:rsid w:val="005E20D9"/>
    <w:rsid w:val="005E2B66"/>
    <w:rsid w:val="005E3568"/>
    <w:rsid w:val="005E4100"/>
    <w:rsid w:val="005E468A"/>
    <w:rsid w:val="005E6940"/>
    <w:rsid w:val="005E69A2"/>
    <w:rsid w:val="005F052A"/>
    <w:rsid w:val="005F0955"/>
    <w:rsid w:val="005F14D3"/>
    <w:rsid w:val="005F21AB"/>
    <w:rsid w:val="005F27B0"/>
    <w:rsid w:val="005F30F9"/>
    <w:rsid w:val="005F3BAB"/>
    <w:rsid w:val="005F3E56"/>
    <w:rsid w:val="005F55FA"/>
    <w:rsid w:val="005F5F2E"/>
    <w:rsid w:val="005F5FEA"/>
    <w:rsid w:val="005F64B7"/>
    <w:rsid w:val="005F6B0A"/>
    <w:rsid w:val="005F6C96"/>
    <w:rsid w:val="0060062C"/>
    <w:rsid w:val="006008E7"/>
    <w:rsid w:val="00600B83"/>
    <w:rsid w:val="00600D2B"/>
    <w:rsid w:val="00600DA7"/>
    <w:rsid w:val="00600DE4"/>
    <w:rsid w:val="00601761"/>
    <w:rsid w:val="00601B51"/>
    <w:rsid w:val="0060230D"/>
    <w:rsid w:val="00603DC3"/>
    <w:rsid w:val="00604ACF"/>
    <w:rsid w:val="00604B03"/>
    <w:rsid w:val="00604DA6"/>
    <w:rsid w:val="00605FAF"/>
    <w:rsid w:val="006060F7"/>
    <w:rsid w:val="00606FF5"/>
    <w:rsid w:val="00607715"/>
    <w:rsid w:val="00610D4F"/>
    <w:rsid w:val="00610FF6"/>
    <w:rsid w:val="006118E6"/>
    <w:rsid w:val="00612C48"/>
    <w:rsid w:val="00614BE9"/>
    <w:rsid w:val="00614FB5"/>
    <w:rsid w:val="006151F8"/>
    <w:rsid w:val="00615B1D"/>
    <w:rsid w:val="00615DCB"/>
    <w:rsid w:val="00615F83"/>
    <w:rsid w:val="00616B4D"/>
    <w:rsid w:val="00616BCF"/>
    <w:rsid w:val="00616F5B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742"/>
    <w:rsid w:val="00625DBE"/>
    <w:rsid w:val="00625F04"/>
    <w:rsid w:val="006263FF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A7"/>
    <w:rsid w:val="00632557"/>
    <w:rsid w:val="00632EEE"/>
    <w:rsid w:val="00632F95"/>
    <w:rsid w:val="00633B15"/>
    <w:rsid w:val="00633BEA"/>
    <w:rsid w:val="00633EB7"/>
    <w:rsid w:val="00634ADB"/>
    <w:rsid w:val="0063572C"/>
    <w:rsid w:val="00635DB5"/>
    <w:rsid w:val="00636E73"/>
    <w:rsid w:val="0063768F"/>
    <w:rsid w:val="00637AE4"/>
    <w:rsid w:val="00640287"/>
    <w:rsid w:val="00640C27"/>
    <w:rsid w:val="00640F63"/>
    <w:rsid w:val="0064281B"/>
    <w:rsid w:val="00642FF1"/>
    <w:rsid w:val="0064385B"/>
    <w:rsid w:val="00643866"/>
    <w:rsid w:val="006448A6"/>
    <w:rsid w:val="00644C2D"/>
    <w:rsid w:val="00646118"/>
    <w:rsid w:val="00646A88"/>
    <w:rsid w:val="00647028"/>
    <w:rsid w:val="0064709E"/>
    <w:rsid w:val="00647251"/>
    <w:rsid w:val="00647CA5"/>
    <w:rsid w:val="00647FDD"/>
    <w:rsid w:val="006502DE"/>
    <w:rsid w:val="00650478"/>
    <w:rsid w:val="006518E8"/>
    <w:rsid w:val="00654161"/>
    <w:rsid w:val="00654436"/>
    <w:rsid w:val="00654F09"/>
    <w:rsid w:val="0065541D"/>
    <w:rsid w:val="00656674"/>
    <w:rsid w:val="006568AC"/>
    <w:rsid w:val="00660732"/>
    <w:rsid w:val="00662673"/>
    <w:rsid w:val="00663B01"/>
    <w:rsid w:val="00663F16"/>
    <w:rsid w:val="00666112"/>
    <w:rsid w:val="006705A3"/>
    <w:rsid w:val="0067071B"/>
    <w:rsid w:val="00670C71"/>
    <w:rsid w:val="00670F92"/>
    <w:rsid w:val="00672225"/>
    <w:rsid w:val="00672904"/>
    <w:rsid w:val="006733A6"/>
    <w:rsid w:val="00673429"/>
    <w:rsid w:val="00676275"/>
    <w:rsid w:val="00676A97"/>
    <w:rsid w:val="006775EB"/>
    <w:rsid w:val="00680A47"/>
    <w:rsid w:val="00680ACF"/>
    <w:rsid w:val="00680C2E"/>
    <w:rsid w:val="006811C2"/>
    <w:rsid w:val="0068129E"/>
    <w:rsid w:val="0068303C"/>
    <w:rsid w:val="006831EC"/>
    <w:rsid w:val="006840E0"/>
    <w:rsid w:val="00684398"/>
    <w:rsid w:val="00684A3D"/>
    <w:rsid w:val="0068540A"/>
    <w:rsid w:val="006863E5"/>
    <w:rsid w:val="00686F58"/>
    <w:rsid w:val="00687185"/>
    <w:rsid w:val="0068738F"/>
    <w:rsid w:val="0068750D"/>
    <w:rsid w:val="0068762E"/>
    <w:rsid w:val="00687918"/>
    <w:rsid w:val="00687CC2"/>
    <w:rsid w:val="00690220"/>
    <w:rsid w:val="00690ED4"/>
    <w:rsid w:val="006911BC"/>
    <w:rsid w:val="00692C2C"/>
    <w:rsid w:val="00692E4D"/>
    <w:rsid w:val="00692EC0"/>
    <w:rsid w:val="00693ADA"/>
    <w:rsid w:val="00693FE2"/>
    <w:rsid w:val="006951D1"/>
    <w:rsid w:val="00695503"/>
    <w:rsid w:val="00696BB6"/>
    <w:rsid w:val="00697F74"/>
    <w:rsid w:val="00697F94"/>
    <w:rsid w:val="006A03D3"/>
    <w:rsid w:val="006A09CF"/>
    <w:rsid w:val="006A0B13"/>
    <w:rsid w:val="006A0E93"/>
    <w:rsid w:val="006A1491"/>
    <w:rsid w:val="006A171A"/>
    <w:rsid w:val="006A1AE3"/>
    <w:rsid w:val="006A2199"/>
    <w:rsid w:val="006A21FA"/>
    <w:rsid w:val="006A255F"/>
    <w:rsid w:val="006A32C8"/>
    <w:rsid w:val="006A3587"/>
    <w:rsid w:val="006A3D3B"/>
    <w:rsid w:val="006A3E0C"/>
    <w:rsid w:val="006A3F49"/>
    <w:rsid w:val="006A415C"/>
    <w:rsid w:val="006A62DB"/>
    <w:rsid w:val="006A6471"/>
    <w:rsid w:val="006A740C"/>
    <w:rsid w:val="006A770B"/>
    <w:rsid w:val="006A7C3A"/>
    <w:rsid w:val="006B02B2"/>
    <w:rsid w:val="006B12AC"/>
    <w:rsid w:val="006B1997"/>
    <w:rsid w:val="006B1B44"/>
    <w:rsid w:val="006B30B2"/>
    <w:rsid w:val="006B402C"/>
    <w:rsid w:val="006B4652"/>
    <w:rsid w:val="006B4C40"/>
    <w:rsid w:val="006B4CDB"/>
    <w:rsid w:val="006B5467"/>
    <w:rsid w:val="006B55EC"/>
    <w:rsid w:val="006B5B84"/>
    <w:rsid w:val="006B624A"/>
    <w:rsid w:val="006B6E08"/>
    <w:rsid w:val="006B7F15"/>
    <w:rsid w:val="006C1BF5"/>
    <w:rsid w:val="006C2088"/>
    <w:rsid w:val="006C2522"/>
    <w:rsid w:val="006C2B13"/>
    <w:rsid w:val="006C3090"/>
    <w:rsid w:val="006C329E"/>
    <w:rsid w:val="006C32F5"/>
    <w:rsid w:val="006C3BD5"/>
    <w:rsid w:val="006C3DC2"/>
    <w:rsid w:val="006C3FC9"/>
    <w:rsid w:val="006C4869"/>
    <w:rsid w:val="006C4FAD"/>
    <w:rsid w:val="006C6593"/>
    <w:rsid w:val="006C7E0F"/>
    <w:rsid w:val="006C7ECB"/>
    <w:rsid w:val="006D0F28"/>
    <w:rsid w:val="006D173F"/>
    <w:rsid w:val="006D2BE4"/>
    <w:rsid w:val="006D3D4B"/>
    <w:rsid w:val="006D4387"/>
    <w:rsid w:val="006D4AB2"/>
    <w:rsid w:val="006D50B8"/>
    <w:rsid w:val="006D621E"/>
    <w:rsid w:val="006D6BB6"/>
    <w:rsid w:val="006D76EB"/>
    <w:rsid w:val="006D7D8D"/>
    <w:rsid w:val="006E003C"/>
    <w:rsid w:val="006E2AED"/>
    <w:rsid w:val="006E2BE6"/>
    <w:rsid w:val="006E2D2A"/>
    <w:rsid w:val="006E3C8E"/>
    <w:rsid w:val="006E3DDA"/>
    <w:rsid w:val="006E411F"/>
    <w:rsid w:val="006E4863"/>
    <w:rsid w:val="006E5A4C"/>
    <w:rsid w:val="006E6B7F"/>
    <w:rsid w:val="006E74B6"/>
    <w:rsid w:val="006F0015"/>
    <w:rsid w:val="006F0CEA"/>
    <w:rsid w:val="006F0D0A"/>
    <w:rsid w:val="006F12F3"/>
    <w:rsid w:val="006F1362"/>
    <w:rsid w:val="006F1E39"/>
    <w:rsid w:val="006F205F"/>
    <w:rsid w:val="006F241F"/>
    <w:rsid w:val="006F29C7"/>
    <w:rsid w:val="006F2AD7"/>
    <w:rsid w:val="006F3207"/>
    <w:rsid w:val="006F389A"/>
    <w:rsid w:val="006F40AC"/>
    <w:rsid w:val="006F41FC"/>
    <w:rsid w:val="006F4829"/>
    <w:rsid w:val="006F4B60"/>
    <w:rsid w:val="006F56C1"/>
    <w:rsid w:val="006F6C35"/>
    <w:rsid w:val="006F6CA5"/>
    <w:rsid w:val="006F75A2"/>
    <w:rsid w:val="0070047E"/>
    <w:rsid w:val="00700E83"/>
    <w:rsid w:val="0070145A"/>
    <w:rsid w:val="0070152E"/>
    <w:rsid w:val="00701571"/>
    <w:rsid w:val="00701A9C"/>
    <w:rsid w:val="00701EB3"/>
    <w:rsid w:val="007024FD"/>
    <w:rsid w:val="00702D9D"/>
    <w:rsid w:val="00703067"/>
    <w:rsid w:val="00703ECE"/>
    <w:rsid w:val="007044E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F40"/>
    <w:rsid w:val="00712F40"/>
    <w:rsid w:val="00713373"/>
    <w:rsid w:val="00713DFF"/>
    <w:rsid w:val="0071424E"/>
    <w:rsid w:val="007143B7"/>
    <w:rsid w:val="007146E8"/>
    <w:rsid w:val="00714DF8"/>
    <w:rsid w:val="007155D4"/>
    <w:rsid w:val="00715FF9"/>
    <w:rsid w:val="00716468"/>
    <w:rsid w:val="00716AAA"/>
    <w:rsid w:val="00716DD4"/>
    <w:rsid w:val="007220C7"/>
    <w:rsid w:val="0072229D"/>
    <w:rsid w:val="00722322"/>
    <w:rsid w:val="00723252"/>
    <w:rsid w:val="00723536"/>
    <w:rsid w:val="00723B07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29"/>
    <w:rsid w:val="00731D42"/>
    <w:rsid w:val="00732782"/>
    <w:rsid w:val="00732B4A"/>
    <w:rsid w:val="00733982"/>
    <w:rsid w:val="00733992"/>
    <w:rsid w:val="00733C03"/>
    <w:rsid w:val="007340A0"/>
    <w:rsid w:val="0073423F"/>
    <w:rsid w:val="0073510E"/>
    <w:rsid w:val="007354EA"/>
    <w:rsid w:val="00735D1D"/>
    <w:rsid w:val="0074155D"/>
    <w:rsid w:val="007416C7"/>
    <w:rsid w:val="00741882"/>
    <w:rsid w:val="00741B75"/>
    <w:rsid w:val="00743E52"/>
    <w:rsid w:val="00744A37"/>
    <w:rsid w:val="00744A68"/>
    <w:rsid w:val="007454A4"/>
    <w:rsid w:val="00745B55"/>
    <w:rsid w:val="00745D0A"/>
    <w:rsid w:val="007463CB"/>
    <w:rsid w:val="00746573"/>
    <w:rsid w:val="00747342"/>
    <w:rsid w:val="007474F8"/>
    <w:rsid w:val="0075073D"/>
    <w:rsid w:val="00750ADA"/>
    <w:rsid w:val="00750C14"/>
    <w:rsid w:val="007513B1"/>
    <w:rsid w:val="00751821"/>
    <w:rsid w:val="00752490"/>
    <w:rsid w:val="00752954"/>
    <w:rsid w:val="007534EF"/>
    <w:rsid w:val="0075417E"/>
    <w:rsid w:val="00754371"/>
    <w:rsid w:val="007545E2"/>
    <w:rsid w:val="0075594C"/>
    <w:rsid w:val="00756122"/>
    <w:rsid w:val="0075710A"/>
    <w:rsid w:val="007578CC"/>
    <w:rsid w:val="00760237"/>
    <w:rsid w:val="00760AE5"/>
    <w:rsid w:val="00761147"/>
    <w:rsid w:val="0076165F"/>
    <w:rsid w:val="00762BA1"/>
    <w:rsid w:val="0076337F"/>
    <w:rsid w:val="007637ED"/>
    <w:rsid w:val="00764302"/>
    <w:rsid w:val="0076436A"/>
    <w:rsid w:val="007646FC"/>
    <w:rsid w:val="0076532E"/>
    <w:rsid w:val="007654FF"/>
    <w:rsid w:val="0076559B"/>
    <w:rsid w:val="007659CF"/>
    <w:rsid w:val="00765A8C"/>
    <w:rsid w:val="007662AB"/>
    <w:rsid w:val="007665B0"/>
    <w:rsid w:val="007665F1"/>
    <w:rsid w:val="00766CE6"/>
    <w:rsid w:val="007677FC"/>
    <w:rsid w:val="0077021C"/>
    <w:rsid w:val="007711AF"/>
    <w:rsid w:val="00771EB0"/>
    <w:rsid w:val="007730C7"/>
    <w:rsid w:val="0077340E"/>
    <w:rsid w:val="0077359D"/>
    <w:rsid w:val="00773A27"/>
    <w:rsid w:val="00773E41"/>
    <w:rsid w:val="00774625"/>
    <w:rsid w:val="00774E57"/>
    <w:rsid w:val="00775837"/>
    <w:rsid w:val="00776CAA"/>
    <w:rsid w:val="00777A2B"/>
    <w:rsid w:val="007800CA"/>
    <w:rsid w:val="00780637"/>
    <w:rsid w:val="00780DEF"/>
    <w:rsid w:val="00780E97"/>
    <w:rsid w:val="007820BE"/>
    <w:rsid w:val="00783C3E"/>
    <w:rsid w:val="00783DC2"/>
    <w:rsid w:val="007840CD"/>
    <w:rsid w:val="00784A34"/>
    <w:rsid w:val="00784B37"/>
    <w:rsid w:val="007853EC"/>
    <w:rsid w:val="007856EE"/>
    <w:rsid w:val="00786149"/>
    <w:rsid w:val="00786B3D"/>
    <w:rsid w:val="00787B91"/>
    <w:rsid w:val="007901D3"/>
    <w:rsid w:val="00790245"/>
    <w:rsid w:val="00790769"/>
    <w:rsid w:val="00790ACF"/>
    <w:rsid w:val="00790B90"/>
    <w:rsid w:val="00790F39"/>
    <w:rsid w:val="0079140E"/>
    <w:rsid w:val="00791531"/>
    <w:rsid w:val="00791A58"/>
    <w:rsid w:val="00791AF5"/>
    <w:rsid w:val="00791D2C"/>
    <w:rsid w:val="00791DAC"/>
    <w:rsid w:val="00792269"/>
    <w:rsid w:val="0079448B"/>
    <w:rsid w:val="00795B05"/>
    <w:rsid w:val="00796930"/>
    <w:rsid w:val="00796FC8"/>
    <w:rsid w:val="00797475"/>
    <w:rsid w:val="007A03D2"/>
    <w:rsid w:val="007A06AF"/>
    <w:rsid w:val="007A07A1"/>
    <w:rsid w:val="007A08EC"/>
    <w:rsid w:val="007A1258"/>
    <w:rsid w:val="007A1699"/>
    <w:rsid w:val="007A1861"/>
    <w:rsid w:val="007A1E64"/>
    <w:rsid w:val="007A213A"/>
    <w:rsid w:val="007A22A5"/>
    <w:rsid w:val="007A297E"/>
    <w:rsid w:val="007A2CF4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3B06"/>
    <w:rsid w:val="007B57DE"/>
    <w:rsid w:val="007B5A85"/>
    <w:rsid w:val="007B5B83"/>
    <w:rsid w:val="007B6A1E"/>
    <w:rsid w:val="007B6BDC"/>
    <w:rsid w:val="007B6ED2"/>
    <w:rsid w:val="007B6FE4"/>
    <w:rsid w:val="007B7A88"/>
    <w:rsid w:val="007C1C1C"/>
    <w:rsid w:val="007C20D6"/>
    <w:rsid w:val="007C3615"/>
    <w:rsid w:val="007C3E7C"/>
    <w:rsid w:val="007C4188"/>
    <w:rsid w:val="007C46A9"/>
    <w:rsid w:val="007C4E2A"/>
    <w:rsid w:val="007C584A"/>
    <w:rsid w:val="007C6059"/>
    <w:rsid w:val="007C6138"/>
    <w:rsid w:val="007C76EE"/>
    <w:rsid w:val="007C7A57"/>
    <w:rsid w:val="007D08B9"/>
    <w:rsid w:val="007D0AE7"/>
    <w:rsid w:val="007D0BA5"/>
    <w:rsid w:val="007D2D22"/>
    <w:rsid w:val="007D3AAA"/>
    <w:rsid w:val="007D4251"/>
    <w:rsid w:val="007D45D9"/>
    <w:rsid w:val="007D51A2"/>
    <w:rsid w:val="007D5586"/>
    <w:rsid w:val="007D6592"/>
    <w:rsid w:val="007D7406"/>
    <w:rsid w:val="007D742E"/>
    <w:rsid w:val="007D7D58"/>
    <w:rsid w:val="007E17FE"/>
    <w:rsid w:val="007E1BC4"/>
    <w:rsid w:val="007E23D0"/>
    <w:rsid w:val="007E2D54"/>
    <w:rsid w:val="007E46ED"/>
    <w:rsid w:val="007E4709"/>
    <w:rsid w:val="007E6804"/>
    <w:rsid w:val="007E727F"/>
    <w:rsid w:val="007E79E4"/>
    <w:rsid w:val="007E7AF6"/>
    <w:rsid w:val="007E7F70"/>
    <w:rsid w:val="007E7F95"/>
    <w:rsid w:val="007F003E"/>
    <w:rsid w:val="007F215F"/>
    <w:rsid w:val="007F2511"/>
    <w:rsid w:val="007F4138"/>
    <w:rsid w:val="007F5046"/>
    <w:rsid w:val="007F53CC"/>
    <w:rsid w:val="007F63C0"/>
    <w:rsid w:val="007F6B2A"/>
    <w:rsid w:val="007F7C9E"/>
    <w:rsid w:val="008006B5"/>
    <w:rsid w:val="00800C1C"/>
    <w:rsid w:val="00802676"/>
    <w:rsid w:val="008033AC"/>
    <w:rsid w:val="00803668"/>
    <w:rsid w:val="00804F02"/>
    <w:rsid w:val="0080586A"/>
    <w:rsid w:val="00805DAE"/>
    <w:rsid w:val="0080614A"/>
    <w:rsid w:val="0080626B"/>
    <w:rsid w:val="008068A0"/>
    <w:rsid w:val="008068B6"/>
    <w:rsid w:val="008078BC"/>
    <w:rsid w:val="00807E40"/>
    <w:rsid w:val="00810056"/>
    <w:rsid w:val="00811497"/>
    <w:rsid w:val="00811F3B"/>
    <w:rsid w:val="0081212B"/>
    <w:rsid w:val="008126AB"/>
    <w:rsid w:val="00812DB3"/>
    <w:rsid w:val="00813ADF"/>
    <w:rsid w:val="00814578"/>
    <w:rsid w:val="0081487D"/>
    <w:rsid w:val="00814AC8"/>
    <w:rsid w:val="00814C72"/>
    <w:rsid w:val="00815259"/>
    <w:rsid w:val="0081590D"/>
    <w:rsid w:val="00815EDA"/>
    <w:rsid w:val="00815F50"/>
    <w:rsid w:val="00816122"/>
    <w:rsid w:val="008167C8"/>
    <w:rsid w:val="00816ABD"/>
    <w:rsid w:val="00817ADC"/>
    <w:rsid w:val="00820C61"/>
    <w:rsid w:val="0082175F"/>
    <w:rsid w:val="008228DF"/>
    <w:rsid w:val="00822F42"/>
    <w:rsid w:val="00823727"/>
    <w:rsid w:val="00823F26"/>
    <w:rsid w:val="00824980"/>
    <w:rsid w:val="00824E81"/>
    <w:rsid w:val="00825E06"/>
    <w:rsid w:val="008263C2"/>
    <w:rsid w:val="0082668C"/>
    <w:rsid w:val="00826847"/>
    <w:rsid w:val="00826A96"/>
    <w:rsid w:val="00826C09"/>
    <w:rsid w:val="00830534"/>
    <w:rsid w:val="00830635"/>
    <w:rsid w:val="00830998"/>
    <w:rsid w:val="00830A17"/>
    <w:rsid w:val="00830AD2"/>
    <w:rsid w:val="00830F82"/>
    <w:rsid w:val="0083252A"/>
    <w:rsid w:val="008327C0"/>
    <w:rsid w:val="00835721"/>
    <w:rsid w:val="00835725"/>
    <w:rsid w:val="00835784"/>
    <w:rsid w:val="00836C42"/>
    <w:rsid w:val="0084136E"/>
    <w:rsid w:val="00841530"/>
    <w:rsid w:val="00841A94"/>
    <w:rsid w:val="00842E3D"/>
    <w:rsid w:val="00842FA5"/>
    <w:rsid w:val="008436DF"/>
    <w:rsid w:val="00844027"/>
    <w:rsid w:val="0084449C"/>
    <w:rsid w:val="0084647D"/>
    <w:rsid w:val="00846B25"/>
    <w:rsid w:val="00846F13"/>
    <w:rsid w:val="00847133"/>
    <w:rsid w:val="00847CE7"/>
    <w:rsid w:val="00850D82"/>
    <w:rsid w:val="00850E45"/>
    <w:rsid w:val="00851316"/>
    <w:rsid w:val="0085144C"/>
    <w:rsid w:val="0085165B"/>
    <w:rsid w:val="00851CF1"/>
    <w:rsid w:val="008520F3"/>
    <w:rsid w:val="0085222B"/>
    <w:rsid w:val="008523B2"/>
    <w:rsid w:val="008530CF"/>
    <w:rsid w:val="008533BC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1EC5"/>
    <w:rsid w:val="00862693"/>
    <w:rsid w:val="00863C07"/>
    <w:rsid w:val="00864545"/>
    <w:rsid w:val="00865497"/>
    <w:rsid w:val="00865C89"/>
    <w:rsid w:val="008666C2"/>
    <w:rsid w:val="00866B56"/>
    <w:rsid w:val="00867E5E"/>
    <w:rsid w:val="00870FDC"/>
    <w:rsid w:val="00871EB4"/>
    <w:rsid w:val="008720D8"/>
    <w:rsid w:val="008726CC"/>
    <w:rsid w:val="00872B26"/>
    <w:rsid w:val="00872ED6"/>
    <w:rsid w:val="00873D1B"/>
    <w:rsid w:val="00873D4F"/>
    <w:rsid w:val="008746CD"/>
    <w:rsid w:val="0087500D"/>
    <w:rsid w:val="00875C66"/>
    <w:rsid w:val="00875E1D"/>
    <w:rsid w:val="00876557"/>
    <w:rsid w:val="00876935"/>
    <w:rsid w:val="008800B4"/>
    <w:rsid w:val="00881153"/>
    <w:rsid w:val="0088154A"/>
    <w:rsid w:val="00881C69"/>
    <w:rsid w:val="00882266"/>
    <w:rsid w:val="008827B6"/>
    <w:rsid w:val="00883903"/>
    <w:rsid w:val="008845AD"/>
    <w:rsid w:val="008846BC"/>
    <w:rsid w:val="00885272"/>
    <w:rsid w:val="00886402"/>
    <w:rsid w:val="00887BD5"/>
    <w:rsid w:val="00890076"/>
    <w:rsid w:val="008914E6"/>
    <w:rsid w:val="00891F2A"/>
    <w:rsid w:val="008958E3"/>
    <w:rsid w:val="0089606A"/>
    <w:rsid w:val="0089668C"/>
    <w:rsid w:val="008969DA"/>
    <w:rsid w:val="00897348"/>
    <w:rsid w:val="00897CBE"/>
    <w:rsid w:val="00897D83"/>
    <w:rsid w:val="008A0A80"/>
    <w:rsid w:val="008A0FD6"/>
    <w:rsid w:val="008A107A"/>
    <w:rsid w:val="008A1260"/>
    <w:rsid w:val="008A1402"/>
    <w:rsid w:val="008A1775"/>
    <w:rsid w:val="008A1845"/>
    <w:rsid w:val="008A22BA"/>
    <w:rsid w:val="008A2604"/>
    <w:rsid w:val="008A377A"/>
    <w:rsid w:val="008A379D"/>
    <w:rsid w:val="008A3C30"/>
    <w:rsid w:val="008A3C3B"/>
    <w:rsid w:val="008A43EC"/>
    <w:rsid w:val="008A48CF"/>
    <w:rsid w:val="008A53FF"/>
    <w:rsid w:val="008A6599"/>
    <w:rsid w:val="008A6822"/>
    <w:rsid w:val="008A6B47"/>
    <w:rsid w:val="008A6B7D"/>
    <w:rsid w:val="008A6CCA"/>
    <w:rsid w:val="008A6F79"/>
    <w:rsid w:val="008A76EC"/>
    <w:rsid w:val="008A786B"/>
    <w:rsid w:val="008B0ADC"/>
    <w:rsid w:val="008B10EC"/>
    <w:rsid w:val="008B1639"/>
    <w:rsid w:val="008B17E8"/>
    <w:rsid w:val="008B18BD"/>
    <w:rsid w:val="008B1AE6"/>
    <w:rsid w:val="008B1B86"/>
    <w:rsid w:val="008B4CBA"/>
    <w:rsid w:val="008B4FDA"/>
    <w:rsid w:val="008B50CC"/>
    <w:rsid w:val="008B6127"/>
    <w:rsid w:val="008B657C"/>
    <w:rsid w:val="008B66A5"/>
    <w:rsid w:val="008B6BDC"/>
    <w:rsid w:val="008B6D4E"/>
    <w:rsid w:val="008B6E47"/>
    <w:rsid w:val="008B7C64"/>
    <w:rsid w:val="008B7F69"/>
    <w:rsid w:val="008C01E6"/>
    <w:rsid w:val="008C0668"/>
    <w:rsid w:val="008C0DE1"/>
    <w:rsid w:val="008C0F97"/>
    <w:rsid w:val="008C280A"/>
    <w:rsid w:val="008C2971"/>
    <w:rsid w:val="008C3DA6"/>
    <w:rsid w:val="008C3F41"/>
    <w:rsid w:val="008C4045"/>
    <w:rsid w:val="008C4A2C"/>
    <w:rsid w:val="008C4C75"/>
    <w:rsid w:val="008C62FB"/>
    <w:rsid w:val="008C662B"/>
    <w:rsid w:val="008C6852"/>
    <w:rsid w:val="008C6978"/>
    <w:rsid w:val="008C7527"/>
    <w:rsid w:val="008C7B13"/>
    <w:rsid w:val="008D0080"/>
    <w:rsid w:val="008D0245"/>
    <w:rsid w:val="008D02F1"/>
    <w:rsid w:val="008D0CAD"/>
    <w:rsid w:val="008D1328"/>
    <w:rsid w:val="008D16AC"/>
    <w:rsid w:val="008D1B04"/>
    <w:rsid w:val="008D1D15"/>
    <w:rsid w:val="008D2A83"/>
    <w:rsid w:val="008D4577"/>
    <w:rsid w:val="008D4AB5"/>
    <w:rsid w:val="008D4F7A"/>
    <w:rsid w:val="008D4FA4"/>
    <w:rsid w:val="008D5EFC"/>
    <w:rsid w:val="008D6100"/>
    <w:rsid w:val="008D6960"/>
    <w:rsid w:val="008D7BA8"/>
    <w:rsid w:val="008E0103"/>
    <w:rsid w:val="008E0203"/>
    <w:rsid w:val="008E05E5"/>
    <w:rsid w:val="008E1091"/>
    <w:rsid w:val="008E1F3A"/>
    <w:rsid w:val="008E328A"/>
    <w:rsid w:val="008E32E4"/>
    <w:rsid w:val="008E3666"/>
    <w:rsid w:val="008E3A7F"/>
    <w:rsid w:val="008E3F53"/>
    <w:rsid w:val="008E4E6F"/>
    <w:rsid w:val="008E50ED"/>
    <w:rsid w:val="008E6A34"/>
    <w:rsid w:val="008F01CA"/>
    <w:rsid w:val="008F03B5"/>
    <w:rsid w:val="008F0604"/>
    <w:rsid w:val="008F18EB"/>
    <w:rsid w:val="008F1C3B"/>
    <w:rsid w:val="008F1F6B"/>
    <w:rsid w:val="008F22C0"/>
    <w:rsid w:val="008F2CD9"/>
    <w:rsid w:val="008F32E3"/>
    <w:rsid w:val="008F35E0"/>
    <w:rsid w:val="008F3DAF"/>
    <w:rsid w:val="008F4670"/>
    <w:rsid w:val="008F4ACE"/>
    <w:rsid w:val="008F5BB4"/>
    <w:rsid w:val="008F6C74"/>
    <w:rsid w:val="008F7083"/>
    <w:rsid w:val="008F766C"/>
    <w:rsid w:val="008F7A7E"/>
    <w:rsid w:val="00900307"/>
    <w:rsid w:val="009003B4"/>
    <w:rsid w:val="00901E14"/>
    <w:rsid w:val="00901EFA"/>
    <w:rsid w:val="009020BE"/>
    <w:rsid w:val="009021CA"/>
    <w:rsid w:val="0090295C"/>
    <w:rsid w:val="00902D75"/>
    <w:rsid w:val="00903356"/>
    <w:rsid w:val="00903923"/>
    <w:rsid w:val="00903969"/>
    <w:rsid w:val="00904551"/>
    <w:rsid w:val="0090514A"/>
    <w:rsid w:val="00905F62"/>
    <w:rsid w:val="00906B37"/>
    <w:rsid w:val="0090704F"/>
    <w:rsid w:val="009078A1"/>
    <w:rsid w:val="00907D0D"/>
    <w:rsid w:val="00912447"/>
    <w:rsid w:val="00912611"/>
    <w:rsid w:val="0091422A"/>
    <w:rsid w:val="0091425E"/>
    <w:rsid w:val="00914F70"/>
    <w:rsid w:val="00915683"/>
    <w:rsid w:val="00915DE2"/>
    <w:rsid w:val="00917BF3"/>
    <w:rsid w:val="00917D42"/>
    <w:rsid w:val="00920319"/>
    <w:rsid w:val="00920394"/>
    <w:rsid w:val="00921136"/>
    <w:rsid w:val="0092134B"/>
    <w:rsid w:val="00921C24"/>
    <w:rsid w:val="009222A4"/>
    <w:rsid w:val="009227DE"/>
    <w:rsid w:val="00923103"/>
    <w:rsid w:val="00923C35"/>
    <w:rsid w:val="00924498"/>
    <w:rsid w:val="00924FA1"/>
    <w:rsid w:val="009262EF"/>
    <w:rsid w:val="00926616"/>
    <w:rsid w:val="009266C0"/>
    <w:rsid w:val="00926A76"/>
    <w:rsid w:val="00926C2E"/>
    <w:rsid w:val="00926D2C"/>
    <w:rsid w:val="00926EF6"/>
    <w:rsid w:val="009271C5"/>
    <w:rsid w:val="00927421"/>
    <w:rsid w:val="00927E43"/>
    <w:rsid w:val="009303EA"/>
    <w:rsid w:val="009309DD"/>
    <w:rsid w:val="00930A5C"/>
    <w:rsid w:val="00931B27"/>
    <w:rsid w:val="0093204E"/>
    <w:rsid w:val="00932963"/>
    <w:rsid w:val="00932A6B"/>
    <w:rsid w:val="00932E7D"/>
    <w:rsid w:val="00932FC1"/>
    <w:rsid w:val="00933786"/>
    <w:rsid w:val="0093426A"/>
    <w:rsid w:val="00934625"/>
    <w:rsid w:val="00935C97"/>
    <w:rsid w:val="00937A70"/>
    <w:rsid w:val="0094061E"/>
    <w:rsid w:val="009407BB"/>
    <w:rsid w:val="0094132E"/>
    <w:rsid w:val="009413D2"/>
    <w:rsid w:val="00943199"/>
    <w:rsid w:val="00943ADF"/>
    <w:rsid w:val="00943D74"/>
    <w:rsid w:val="00944C79"/>
    <w:rsid w:val="00945025"/>
    <w:rsid w:val="009451F2"/>
    <w:rsid w:val="009469D2"/>
    <w:rsid w:val="00947343"/>
    <w:rsid w:val="00947D8D"/>
    <w:rsid w:val="00947DB9"/>
    <w:rsid w:val="00947E15"/>
    <w:rsid w:val="009501F2"/>
    <w:rsid w:val="00950A13"/>
    <w:rsid w:val="00951BBC"/>
    <w:rsid w:val="0095215C"/>
    <w:rsid w:val="009533B4"/>
    <w:rsid w:val="00953483"/>
    <w:rsid w:val="00953DDD"/>
    <w:rsid w:val="00954741"/>
    <w:rsid w:val="0095495C"/>
    <w:rsid w:val="00954C02"/>
    <w:rsid w:val="0095509C"/>
    <w:rsid w:val="00955990"/>
    <w:rsid w:val="009565C5"/>
    <w:rsid w:val="00956638"/>
    <w:rsid w:val="00956711"/>
    <w:rsid w:val="00956FD6"/>
    <w:rsid w:val="0095724E"/>
    <w:rsid w:val="0096134F"/>
    <w:rsid w:val="00961761"/>
    <w:rsid w:val="0096237F"/>
    <w:rsid w:val="009637EE"/>
    <w:rsid w:val="00964160"/>
    <w:rsid w:val="0096431C"/>
    <w:rsid w:val="00964822"/>
    <w:rsid w:val="0096529A"/>
    <w:rsid w:val="009660DB"/>
    <w:rsid w:val="0096616E"/>
    <w:rsid w:val="00966717"/>
    <w:rsid w:val="00966D39"/>
    <w:rsid w:val="00966EC2"/>
    <w:rsid w:val="00966F07"/>
    <w:rsid w:val="00967D32"/>
    <w:rsid w:val="00967F93"/>
    <w:rsid w:val="0097029B"/>
    <w:rsid w:val="00970502"/>
    <w:rsid w:val="00970716"/>
    <w:rsid w:val="00970910"/>
    <w:rsid w:val="00970A18"/>
    <w:rsid w:val="00970CD4"/>
    <w:rsid w:val="00970EDC"/>
    <w:rsid w:val="0097138A"/>
    <w:rsid w:val="00973858"/>
    <w:rsid w:val="009744F1"/>
    <w:rsid w:val="00974A6C"/>
    <w:rsid w:val="009752DF"/>
    <w:rsid w:val="00975683"/>
    <w:rsid w:val="0097677B"/>
    <w:rsid w:val="00976AEC"/>
    <w:rsid w:val="00976DBC"/>
    <w:rsid w:val="0098001C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758"/>
    <w:rsid w:val="009929F4"/>
    <w:rsid w:val="00992CE2"/>
    <w:rsid w:val="00995075"/>
    <w:rsid w:val="00996281"/>
    <w:rsid w:val="00996835"/>
    <w:rsid w:val="00997258"/>
    <w:rsid w:val="009A0427"/>
    <w:rsid w:val="009A084F"/>
    <w:rsid w:val="009A21CA"/>
    <w:rsid w:val="009A24C3"/>
    <w:rsid w:val="009A2B61"/>
    <w:rsid w:val="009A363D"/>
    <w:rsid w:val="009A3691"/>
    <w:rsid w:val="009A3E23"/>
    <w:rsid w:val="009A544C"/>
    <w:rsid w:val="009A60CA"/>
    <w:rsid w:val="009A6124"/>
    <w:rsid w:val="009A7FEC"/>
    <w:rsid w:val="009B0312"/>
    <w:rsid w:val="009B0E01"/>
    <w:rsid w:val="009B1909"/>
    <w:rsid w:val="009B25E1"/>
    <w:rsid w:val="009B32A4"/>
    <w:rsid w:val="009B4B79"/>
    <w:rsid w:val="009B505E"/>
    <w:rsid w:val="009B7990"/>
    <w:rsid w:val="009B7D24"/>
    <w:rsid w:val="009C01A5"/>
    <w:rsid w:val="009C04E3"/>
    <w:rsid w:val="009C1226"/>
    <w:rsid w:val="009C249D"/>
    <w:rsid w:val="009C274A"/>
    <w:rsid w:val="009C2D1D"/>
    <w:rsid w:val="009C2DD2"/>
    <w:rsid w:val="009C3656"/>
    <w:rsid w:val="009C3D9D"/>
    <w:rsid w:val="009C495D"/>
    <w:rsid w:val="009C5464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1E9"/>
    <w:rsid w:val="009D2200"/>
    <w:rsid w:val="009D2781"/>
    <w:rsid w:val="009D2953"/>
    <w:rsid w:val="009D2ADA"/>
    <w:rsid w:val="009D2E7C"/>
    <w:rsid w:val="009D40FD"/>
    <w:rsid w:val="009D4D33"/>
    <w:rsid w:val="009D5516"/>
    <w:rsid w:val="009D61D2"/>
    <w:rsid w:val="009D7E9A"/>
    <w:rsid w:val="009E033C"/>
    <w:rsid w:val="009E0F7C"/>
    <w:rsid w:val="009E1413"/>
    <w:rsid w:val="009E14CF"/>
    <w:rsid w:val="009E16CF"/>
    <w:rsid w:val="009E3029"/>
    <w:rsid w:val="009E3779"/>
    <w:rsid w:val="009E5124"/>
    <w:rsid w:val="009E5EA0"/>
    <w:rsid w:val="009E7342"/>
    <w:rsid w:val="009E765A"/>
    <w:rsid w:val="009E7A7F"/>
    <w:rsid w:val="009F09FE"/>
    <w:rsid w:val="009F1382"/>
    <w:rsid w:val="009F1C73"/>
    <w:rsid w:val="009F1E08"/>
    <w:rsid w:val="009F2309"/>
    <w:rsid w:val="009F27DF"/>
    <w:rsid w:val="009F2998"/>
    <w:rsid w:val="009F2E81"/>
    <w:rsid w:val="009F2EA6"/>
    <w:rsid w:val="009F3990"/>
    <w:rsid w:val="009F39F1"/>
    <w:rsid w:val="009F4DFD"/>
    <w:rsid w:val="009F4EB9"/>
    <w:rsid w:val="009F5099"/>
    <w:rsid w:val="009F644E"/>
    <w:rsid w:val="009F6857"/>
    <w:rsid w:val="009F68D5"/>
    <w:rsid w:val="009F6AC7"/>
    <w:rsid w:val="009F749B"/>
    <w:rsid w:val="00A0009C"/>
    <w:rsid w:val="00A00344"/>
    <w:rsid w:val="00A005BD"/>
    <w:rsid w:val="00A007D7"/>
    <w:rsid w:val="00A00A4F"/>
    <w:rsid w:val="00A0100F"/>
    <w:rsid w:val="00A01486"/>
    <w:rsid w:val="00A022C6"/>
    <w:rsid w:val="00A06035"/>
    <w:rsid w:val="00A0627F"/>
    <w:rsid w:val="00A064A5"/>
    <w:rsid w:val="00A06B93"/>
    <w:rsid w:val="00A0783D"/>
    <w:rsid w:val="00A07884"/>
    <w:rsid w:val="00A07F64"/>
    <w:rsid w:val="00A10928"/>
    <w:rsid w:val="00A10B7E"/>
    <w:rsid w:val="00A10FE6"/>
    <w:rsid w:val="00A11DE0"/>
    <w:rsid w:val="00A124D5"/>
    <w:rsid w:val="00A1251A"/>
    <w:rsid w:val="00A12FF4"/>
    <w:rsid w:val="00A13676"/>
    <w:rsid w:val="00A137F2"/>
    <w:rsid w:val="00A13839"/>
    <w:rsid w:val="00A1533A"/>
    <w:rsid w:val="00A160BF"/>
    <w:rsid w:val="00A165B3"/>
    <w:rsid w:val="00A16E8C"/>
    <w:rsid w:val="00A17AF8"/>
    <w:rsid w:val="00A17E8A"/>
    <w:rsid w:val="00A20436"/>
    <w:rsid w:val="00A20A16"/>
    <w:rsid w:val="00A20F96"/>
    <w:rsid w:val="00A2189B"/>
    <w:rsid w:val="00A21D69"/>
    <w:rsid w:val="00A22136"/>
    <w:rsid w:val="00A233D3"/>
    <w:rsid w:val="00A23489"/>
    <w:rsid w:val="00A241D4"/>
    <w:rsid w:val="00A2605A"/>
    <w:rsid w:val="00A26A09"/>
    <w:rsid w:val="00A30364"/>
    <w:rsid w:val="00A30507"/>
    <w:rsid w:val="00A3142A"/>
    <w:rsid w:val="00A320C6"/>
    <w:rsid w:val="00A32D57"/>
    <w:rsid w:val="00A3324E"/>
    <w:rsid w:val="00A3372F"/>
    <w:rsid w:val="00A34187"/>
    <w:rsid w:val="00A34986"/>
    <w:rsid w:val="00A35798"/>
    <w:rsid w:val="00A35823"/>
    <w:rsid w:val="00A35B4F"/>
    <w:rsid w:val="00A37862"/>
    <w:rsid w:val="00A37F03"/>
    <w:rsid w:val="00A40290"/>
    <w:rsid w:val="00A405E2"/>
    <w:rsid w:val="00A40A2B"/>
    <w:rsid w:val="00A4128A"/>
    <w:rsid w:val="00A41C7B"/>
    <w:rsid w:val="00A423AF"/>
    <w:rsid w:val="00A42F67"/>
    <w:rsid w:val="00A43270"/>
    <w:rsid w:val="00A43316"/>
    <w:rsid w:val="00A43913"/>
    <w:rsid w:val="00A44F32"/>
    <w:rsid w:val="00A453FA"/>
    <w:rsid w:val="00A45992"/>
    <w:rsid w:val="00A45A8B"/>
    <w:rsid w:val="00A45F94"/>
    <w:rsid w:val="00A460C5"/>
    <w:rsid w:val="00A4646D"/>
    <w:rsid w:val="00A465E5"/>
    <w:rsid w:val="00A46977"/>
    <w:rsid w:val="00A46C39"/>
    <w:rsid w:val="00A46EFB"/>
    <w:rsid w:val="00A47BA4"/>
    <w:rsid w:val="00A500E4"/>
    <w:rsid w:val="00A50709"/>
    <w:rsid w:val="00A51B1C"/>
    <w:rsid w:val="00A51C6F"/>
    <w:rsid w:val="00A524C2"/>
    <w:rsid w:val="00A52F43"/>
    <w:rsid w:val="00A52F54"/>
    <w:rsid w:val="00A5330F"/>
    <w:rsid w:val="00A54D65"/>
    <w:rsid w:val="00A550E3"/>
    <w:rsid w:val="00A5601F"/>
    <w:rsid w:val="00A5606E"/>
    <w:rsid w:val="00A5714B"/>
    <w:rsid w:val="00A62615"/>
    <w:rsid w:val="00A6289F"/>
    <w:rsid w:val="00A62CD6"/>
    <w:rsid w:val="00A62E2D"/>
    <w:rsid w:val="00A632E8"/>
    <w:rsid w:val="00A64774"/>
    <w:rsid w:val="00A658E4"/>
    <w:rsid w:val="00A660C0"/>
    <w:rsid w:val="00A67A59"/>
    <w:rsid w:val="00A7044C"/>
    <w:rsid w:val="00A715B4"/>
    <w:rsid w:val="00A72596"/>
    <w:rsid w:val="00A72A45"/>
    <w:rsid w:val="00A733B6"/>
    <w:rsid w:val="00A73743"/>
    <w:rsid w:val="00A74188"/>
    <w:rsid w:val="00A75054"/>
    <w:rsid w:val="00A752E0"/>
    <w:rsid w:val="00A75476"/>
    <w:rsid w:val="00A7602E"/>
    <w:rsid w:val="00A76865"/>
    <w:rsid w:val="00A76B38"/>
    <w:rsid w:val="00A77B15"/>
    <w:rsid w:val="00A80717"/>
    <w:rsid w:val="00A80E6F"/>
    <w:rsid w:val="00A8110E"/>
    <w:rsid w:val="00A81F66"/>
    <w:rsid w:val="00A82879"/>
    <w:rsid w:val="00A82997"/>
    <w:rsid w:val="00A83861"/>
    <w:rsid w:val="00A83BB2"/>
    <w:rsid w:val="00A842D7"/>
    <w:rsid w:val="00A849A2"/>
    <w:rsid w:val="00A85772"/>
    <w:rsid w:val="00A860F9"/>
    <w:rsid w:val="00A86760"/>
    <w:rsid w:val="00A868EA"/>
    <w:rsid w:val="00A87A05"/>
    <w:rsid w:val="00A87D52"/>
    <w:rsid w:val="00A91203"/>
    <w:rsid w:val="00A91533"/>
    <w:rsid w:val="00A91931"/>
    <w:rsid w:val="00A91CE1"/>
    <w:rsid w:val="00A921EF"/>
    <w:rsid w:val="00A9264E"/>
    <w:rsid w:val="00A92ED1"/>
    <w:rsid w:val="00A93669"/>
    <w:rsid w:val="00A93FDA"/>
    <w:rsid w:val="00A96040"/>
    <w:rsid w:val="00AA0116"/>
    <w:rsid w:val="00AA018B"/>
    <w:rsid w:val="00AA04ED"/>
    <w:rsid w:val="00AA05C4"/>
    <w:rsid w:val="00AA14D7"/>
    <w:rsid w:val="00AA24F2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0ED"/>
    <w:rsid w:val="00AA720F"/>
    <w:rsid w:val="00AB162F"/>
    <w:rsid w:val="00AB1757"/>
    <w:rsid w:val="00AB1DC2"/>
    <w:rsid w:val="00AB4934"/>
    <w:rsid w:val="00AB5AFF"/>
    <w:rsid w:val="00AB5EBE"/>
    <w:rsid w:val="00AB660D"/>
    <w:rsid w:val="00AB6B46"/>
    <w:rsid w:val="00AB6FC9"/>
    <w:rsid w:val="00AC00E3"/>
    <w:rsid w:val="00AC036B"/>
    <w:rsid w:val="00AC0EB1"/>
    <w:rsid w:val="00AC243E"/>
    <w:rsid w:val="00AC3AEF"/>
    <w:rsid w:val="00AC4056"/>
    <w:rsid w:val="00AC44F5"/>
    <w:rsid w:val="00AC4D26"/>
    <w:rsid w:val="00AC6FF0"/>
    <w:rsid w:val="00AD03A7"/>
    <w:rsid w:val="00AD05B3"/>
    <w:rsid w:val="00AD07BD"/>
    <w:rsid w:val="00AD1007"/>
    <w:rsid w:val="00AD186A"/>
    <w:rsid w:val="00AD2594"/>
    <w:rsid w:val="00AD2ED1"/>
    <w:rsid w:val="00AD35B5"/>
    <w:rsid w:val="00AD3FCB"/>
    <w:rsid w:val="00AD45CC"/>
    <w:rsid w:val="00AD4B11"/>
    <w:rsid w:val="00AD4B23"/>
    <w:rsid w:val="00AD5829"/>
    <w:rsid w:val="00AD596F"/>
    <w:rsid w:val="00AD5ED6"/>
    <w:rsid w:val="00AD6367"/>
    <w:rsid w:val="00AD796D"/>
    <w:rsid w:val="00AD7FDF"/>
    <w:rsid w:val="00AE02EF"/>
    <w:rsid w:val="00AE0C32"/>
    <w:rsid w:val="00AE0FAB"/>
    <w:rsid w:val="00AE1DE1"/>
    <w:rsid w:val="00AE21AB"/>
    <w:rsid w:val="00AE232A"/>
    <w:rsid w:val="00AE27ED"/>
    <w:rsid w:val="00AE2EA4"/>
    <w:rsid w:val="00AE34F4"/>
    <w:rsid w:val="00AE3C77"/>
    <w:rsid w:val="00AE4157"/>
    <w:rsid w:val="00AE4474"/>
    <w:rsid w:val="00AE4CB4"/>
    <w:rsid w:val="00AE54B5"/>
    <w:rsid w:val="00AE5E71"/>
    <w:rsid w:val="00AE5F18"/>
    <w:rsid w:val="00AE7190"/>
    <w:rsid w:val="00AE7357"/>
    <w:rsid w:val="00AE7737"/>
    <w:rsid w:val="00AE7769"/>
    <w:rsid w:val="00AF027A"/>
    <w:rsid w:val="00AF2349"/>
    <w:rsid w:val="00AF234D"/>
    <w:rsid w:val="00AF2729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5248"/>
    <w:rsid w:val="00B05489"/>
    <w:rsid w:val="00B05FC5"/>
    <w:rsid w:val="00B06403"/>
    <w:rsid w:val="00B07DDF"/>
    <w:rsid w:val="00B103AF"/>
    <w:rsid w:val="00B104BA"/>
    <w:rsid w:val="00B10FE6"/>
    <w:rsid w:val="00B11892"/>
    <w:rsid w:val="00B11BDA"/>
    <w:rsid w:val="00B11F63"/>
    <w:rsid w:val="00B12952"/>
    <w:rsid w:val="00B129C6"/>
    <w:rsid w:val="00B15838"/>
    <w:rsid w:val="00B15DCB"/>
    <w:rsid w:val="00B1604F"/>
    <w:rsid w:val="00B16EBE"/>
    <w:rsid w:val="00B16F2C"/>
    <w:rsid w:val="00B20330"/>
    <w:rsid w:val="00B205FB"/>
    <w:rsid w:val="00B210CA"/>
    <w:rsid w:val="00B21176"/>
    <w:rsid w:val="00B21857"/>
    <w:rsid w:val="00B2194A"/>
    <w:rsid w:val="00B21B3A"/>
    <w:rsid w:val="00B21C6C"/>
    <w:rsid w:val="00B21D1E"/>
    <w:rsid w:val="00B21E8E"/>
    <w:rsid w:val="00B23CD3"/>
    <w:rsid w:val="00B2475F"/>
    <w:rsid w:val="00B2551E"/>
    <w:rsid w:val="00B25609"/>
    <w:rsid w:val="00B25AE7"/>
    <w:rsid w:val="00B2641A"/>
    <w:rsid w:val="00B26949"/>
    <w:rsid w:val="00B269FD"/>
    <w:rsid w:val="00B303BC"/>
    <w:rsid w:val="00B31080"/>
    <w:rsid w:val="00B32C38"/>
    <w:rsid w:val="00B32C6C"/>
    <w:rsid w:val="00B34B21"/>
    <w:rsid w:val="00B35398"/>
    <w:rsid w:val="00B35BC2"/>
    <w:rsid w:val="00B36E69"/>
    <w:rsid w:val="00B37565"/>
    <w:rsid w:val="00B4023E"/>
    <w:rsid w:val="00B402C9"/>
    <w:rsid w:val="00B407B7"/>
    <w:rsid w:val="00B40DEC"/>
    <w:rsid w:val="00B40FFE"/>
    <w:rsid w:val="00B42DC7"/>
    <w:rsid w:val="00B43036"/>
    <w:rsid w:val="00B44D9C"/>
    <w:rsid w:val="00B45526"/>
    <w:rsid w:val="00B45857"/>
    <w:rsid w:val="00B4652F"/>
    <w:rsid w:val="00B471EE"/>
    <w:rsid w:val="00B471F5"/>
    <w:rsid w:val="00B47664"/>
    <w:rsid w:val="00B47EB4"/>
    <w:rsid w:val="00B5061F"/>
    <w:rsid w:val="00B514DE"/>
    <w:rsid w:val="00B51977"/>
    <w:rsid w:val="00B51B06"/>
    <w:rsid w:val="00B5252A"/>
    <w:rsid w:val="00B525F7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8FA"/>
    <w:rsid w:val="00B60A60"/>
    <w:rsid w:val="00B60E3C"/>
    <w:rsid w:val="00B615B1"/>
    <w:rsid w:val="00B61E8D"/>
    <w:rsid w:val="00B622B2"/>
    <w:rsid w:val="00B62CE3"/>
    <w:rsid w:val="00B62DE4"/>
    <w:rsid w:val="00B62E4C"/>
    <w:rsid w:val="00B631DD"/>
    <w:rsid w:val="00B64273"/>
    <w:rsid w:val="00B64470"/>
    <w:rsid w:val="00B64CD6"/>
    <w:rsid w:val="00B65887"/>
    <w:rsid w:val="00B65958"/>
    <w:rsid w:val="00B65AD2"/>
    <w:rsid w:val="00B65B15"/>
    <w:rsid w:val="00B65DDE"/>
    <w:rsid w:val="00B66417"/>
    <w:rsid w:val="00B66CBE"/>
    <w:rsid w:val="00B66E90"/>
    <w:rsid w:val="00B66F97"/>
    <w:rsid w:val="00B70465"/>
    <w:rsid w:val="00B7074C"/>
    <w:rsid w:val="00B708BC"/>
    <w:rsid w:val="00B70F10"/>
    <w:rsid w:val="00B7136B"/>
    <w:rsid w:val="00B718A5"/>
    <w:rsid w:val="00B71F13"/>
    <w:rsid w:val="00B72F54"/>
    <w:rsid w:val="00B73BBD"/>
    <w:rsid w:val="00B744CE"/>
    <w:rsid w:val="00B74E77"/>
    <w:rsid w:val="00B7500F"/>
    <w:rsid w:val="00B757D6"/>
    <w:rsid w:val="00B80DFA"/>
    <w:rsid w:val="00B819CF"/>
    <w:rsid w:val="00B81BEC"/>
    <w:rsid w:val="00B81DD6"/>
    <w:rsid w:val="00B84C3C"/>
    <w:rsid w:val="00B9039F"/>
    <w:rsid w:val="00B91461"/>
    <w:rsid w:val="00B91658"/>
    <w:rsid w:val="00B918D1"/>
    <w:rsid w:val="00B91E9E"/>
    <w:rsid w:val="00B92734"/>
    <w:rsid w:val="00B92AB4"/>
    <w:rsid w:val="00B92D81"/>
    <w:rsid w:val="00B93B1E"/>
    <w:rsid w:val="00B93BF1"/>
    <w:rsid w:val="00B93F4F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619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5CA"/>
    <w:rsid w:val="00BA6125"/>
    <w:rsid w:val="00BA695B"/>
    <w:rsid w:val="00BA69E7"/>
    <w:rsid w:val="00BA6CB2"/>
    <w:rsid w:val="00BA6F68"/>
    <w:rsid w:val="00BA7EA5"/>
    <w:rsid w:val="00BB0ADC"/>
    <w:rsid w:val="00BB13AA"/>
    <w:rsid w:val="00BB1778"/>
    <w:rsid w:val="00BB250A"/>
    <w:rsid w:val="00BB279C"/>
    <w:rsid w:val="00BB2811"/>
    <w:rsid w:val="00BB2A15"/>
    <w:rsid w:val="00BB2B96"/>
    <w:rsid w:val="00BB389B"/>
    <w:rsid w:val="00BB4201"/>
    <w:rsid w:val="00BB43B8"/>
    <w:rsid w:val="00BB495F"/>
    <w:rsid w:val="00BB510F"/>
    <w:rsid w:val="00BB589D"/>
    <w:rsid w:val="00BB63C8"/>
    <w:rsid w:val="00BB7737"/>
    <w:rsid w:val="00BC08CC"/>
    <w:rsid w:val="00BC0A9E"/>
    <w:rsid w:val="00BC1E76"/>
    <w:rsid w:val="00BC2368"/>
    <w:rsid w:val="00BC2A54"/>
    <w:rsid w:val="00BC3301"/>
    <w:rsid w:val="00BC38D4"/>
    <w:rsid w:val="00BC431C"/>
    <w:rsid w:val="00BC4584"/>
    <w:rsid w:val="00BC4FBA"/>
    <w:rsid w:val="00BC52F0"/>
    <w:rsid w:val="00BC5B9B"/>
    <w:rsid w:val="00BC7656"/>
    <w:rsid w:val="00BD033A"/>
    <w:rsid w:val="00BD034A"/>
    <w:rsid w:val="00BD0AA4"/>
    <w:rsid w:val="00BD0B75"/>
    <w:rsid w:val="00BD1326"/>
    <w:rsid w:val="00BD140D"/>
    <w:rsid w:val="00BD173F"/>
    <w:rsid w:val="00BD1E5B"/>
    <w:rsid w:val="00BD2999"/>
    <w:rsid w:val="00BD2A46"/>
    <w:rsid w:val="00BD3C23"/>
    <w:rsid w:val="00BD4203"/>
    <w:rsid w:val="00BD49E4"/>
    <w:rsid w:val="00BD49F8"/>
    <w:rsid w:val="00BD523C"/>
    <w:rsid w:val="00BD6623"/>
    <w:rsid w:val="00BD6DE3"/>
    <w:rsid w:val="00BD768A"/>
    <w:rsid w:val="00BD7AEC"/>
    <w:rsid w:val="00BD7BFC"/>
    <w:rsid w:val="00BD7C21"/>
    <w:rsid w:val="00BE0173"/>
    <w:rsid w:val="00BE0C8B"/>
    <w:rsid w:val="00BE0E68"/>
    <w:rsid w:val="00BE16A2"/>
    <w:rsid w:val="00BE19BB"/>
    <w:rsid w:val="00BE1A86"/>
    <w:rsid w:val="00BE1FF4"/>
    <w:rsid w:val="00BE2906"/>
    <w:rsid w:val="00BE3225"/>
    <w:rsid w:val="00BE407C"/>
    <w:rsid w:val="00BE4CA5"/>
    <w:rsid w:val="00BE5DDD"/>
    <w:rsid w:val="00BE7332"/>
    <w:rsid w:val="00BE75B2"/>
    <w:rsid w:val="00BF0921"/>
    <w:rsid w:val="00BF0945"/>
    <w:rsid w:val="00BF09D5"/>
    <w:rsid w:val="00BF0AF0"/>
    <w:rsid w:val="00BF1926"/>
    <w:rsid w:val="00BF1950"/>
    <w:rsid w:val="00BF19A5"/>
    <w:rsid w:val="00BF19D5"/>
    <w:rsid w:val="00BF221D"/>
    <w:rsid w:val="00BF2A14"/>
    <w:rsid w:val="00BF6212"/>
    <w:rsid w:val="00BF6C57"/>
    <w:rsid w:val="00BF7C0E"/>
    <w:rsid w:val="00C00260"/>
    <w:rsid w:val="00C00CF1"/>
    <w:rsid w:val="00C013BB"/>
    <w:rsid w:val="00C016AD"/>
    <w:rsid w:val="00C01FA8"/>
    <w:rsid w:val="00C02061"/>
    <w:rsid w:val="00C02873"/>
    <w:rsid w:val="00C037C4"/>
    <w:rsid w:val="00C04286"/>
    <w:rsid w:val="00C0447A"/>
    <w:rsid w:val="00C05173"/>
    <w:rsid w:val="00C051B5"/>
    <w:rsid w:val="00C05F76"/>
    <w:rsid w:val="00C0783C"/>
    <w:rsid w:val="00C10038"/>
    <w:rsid w:val="00C113E6"/>
    <w:rsid w:val="00C1160B"/>
    <w:rsid w:val="00C1185C"/>
    <w:rsid w:val="00C11880"/>
    <w:rsid w:val="00C125BE"/>
    <w:rsid w:val="00C12E08"/>
    <w:rsid w:val="00C135D0"/>
    <w:rsid w:val="00C13DAB"/>
    <w:rsid w:val="00C13DE5"/>
    <w:rsid w:val="00C14177"/>
    <w:rsid w:val="00C14555"/>
    <w:rsid w:val="00C15678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617F"/>
    <w:rsid w:val="00C267BD"/>
    <w:rsid w:val="00C26A53"/>
    <w:rsid w:val="00C27590"/>
    <w:rsid w:val="00C27C9A"/>
    <w:rsid w:val="00C27E6C"/>
    <w:rsid w:val="00C27E6D"/>
    <w:rsid w:val="00C304E8"/>
    <w:rsid w:val="00C30B76"/>
    <w:rsid w:val="00C3112C"/>
    <w:rsid w:val="00C31498"/>
    <w:rsid w:val="00C32C9F"/>
    <w:rsid w:val="00C331D6"/>
    <w:rsid w:val="00C35872"/>
    <w:rsid w:val="00C35B63"/>
    <w:rsid w:val="00C36670"/>
    <w:rsid w:val="00C367B9"/>
    <w:rsid w:val="00C379C8"/>
    <w:rsid w:val="00C37C33"/>
    <w:rsid w:val="00C402AC"/>
    <w:rsid w:val="00C41C47"/>
    <w:rsid w:val="00C42214"/>
    <w:rsid w:val="00C429F1"/>
    <w:rsid w:val="00C42A17"/>
    <w:rsid w:val="00C42DAE"/>
    <w:rsid w:val="00C435D3"/>
    <w:rsid w:val="00C44A49"/>
    <w:rsid w:val="00C44D2E"/>
    <w:rsid w:val="00C462C6"/>
    <w:rsid w:val="00C46857"/>
    <w:rsid w:val="00C46D38"/>
    <w:rsid w:val="00C46FAA"/>
    <w:rsid w:val="00C4712C"/>
    <w:rsid w:val="00C47ADB"/>
    <w:rsid w:val="00C50AFB"/>
    <w:rsid w:val="00C50E35"/>
    <w:rsid w:val="00C50EC3"/>
    <w:rsid w:val="00C50EEB"/>
    <w:rsid w:val="00C512BF"/>
    <w:rsid w:val="00C53F4F"/>
    <w:rsid w:val="00C53F58"/>
    <w:rsid w:val="00C54311"/>
    <w:rsid w:val="00C5505F"/>
    <w:rsid w:val="00C55173"/>
    <w:rsid w:val="00C551B3"/>
    <w:rsid w:val="00C57923"/>
    <w:rsid w:val="00C6063B"/>
    <w:rsid w:val="00C608A7"/>
    <w:rsid w:val="00C609CA"/>
    <w:rsid w:val="00C61CB3"/>
    <w:rsid w:val="00C62047"/>
    <w:rsid w:val="00C6227F"/>
    <w:rsid w:val="00C63D96"/>
    <w:rsid w:val="00C658B8"/>
    <w:rsid w:val="00C678CC"/>
    <w:rsid w:val="00C70BBA"/>
    <w:rsid w:val="00C70F38"/>
    <w:rsid w:val="00C710B6"/>
    <w:rsid w:val="00C7137D"/>
    <w:rsid w:val="00C716B1"/>
    <w:rsid w:val="00C719DD"/>
    <w:rsid w:val="00C72639"/>
    <w:rsid w:val="00C72B98"/>
    <w:rsid w:val="00C73264"/>
    <w:rsid w:val="00C737DB"/>
    <w:rsid w:val="00C7538A"/>
    <w:rsid w:val="00C77866"/>
    <w:rsid w:val="00C80134"/>
    <w:rsid w:val="00C801CE"/>
    <w:rsid w:val="00C801FC"/>
    <w:rsid w:val="00C8093F"/>
    <w:rsid w:val="00C81215"/>
    <w:rsid w:val="00C81D29"/>
    <w:rsid w:val="00C823A2"/>
    <w:rsid w:val="00C83001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0CB9"/>
    <w:rsid w:val="00C914D5"/>
    <w:rsid w:val="00C92141"/>
    <w:rsid w:val="00C925DC"/>
    <w:rsid w:val="00C92DB1"/>
    <w:rsid w:val="00C92E7E"/>
    <w:rsid w:val="00C92EB8"/>
    <w:rsid w:val="00C9335E"/>
    <w:rsid w:val="00C93FAE"/>
    <w:rsid w:val="00C94B62"/>
    <w:rsid w:val="00C94D11"/>
    <w:rsid w:val="00C95618"/>
    <w:rsid w:val="00C95D84"/>
    <w:rsid w:val="00C9654D"/>
    <w:rsid w:val="00C966F9"/>
    <w:rsid w:val="00C97822"/>
    <w:rsid w:val="00C97C70"/>
    <w:rsid w:val="00CA16EA"/>
    <w:rsid w:val="00CA205D"/>
    <w:rsid w:val="00CA283B"/>
    <w:rsid w:val="00CA3003"/>
    <w:rsid w:val="00CA3A2A"/>
    <w:rsid w:val="00CA3D81"/>
    <w:rsid w:val="00CA49C2"/>
    <w:rsid w:val="00CA4C59"/>
    <w:rsid w:val="00CA4F2E"/>
    <w:rsid w:val="00CA6430"/>
    <w:rsid w:val="00CA67DD"/>
    <w:rsid w:val="00CA6B0E"/>
    <w:rsid w:val="00CA7851"/>
    <w:rsid w:val="00CA7F7F"/>
    <w:rsid w:val="00CB00CC"/>
    <w:rsid w:val="00CB0390"/>
    <w:rsid w:val="00CB056E"/>
    <w:rsid w:val="00CB0B1B"/>
    <w:rsid w:val="00CB1191"/>
    <w:rsid w:val="00CB2B1B"/>
    <w:rsid w:val="00CB2C8D"/>
    <w:rsid w:val="00CB2CB9"/>
    <w:rsid w:val="00CB2F6B"/>
    <w:rsid w:val="00CB3378"/>
    <w:rsid w:val="00CB3CD8"/>
    <w:rsid w:val="00CB4459"/>
    <w:rsid w:val="00CB58E8"/>
    <w:rsid w:val="00CB5B38"/>
    <w:rsid w:val="00CB5D91"/>
    <w:rsid w:val="00CB6C32"/>
    <w:rsid w:val="00CB6CB9"/>
    <w:rsid w:val="00CB6FCE"/>
    <w:rsid w:val="00CB7149"/>
    <w:rsid w:val="00CB78FE"/>
    <w:rsid w:val="00CB7EF1"/>
    <w:rsid w:val="00CC07EC"/>
    <w:rsid w:val="00CC09D1"/>
    <w:rsid w:val="00CC0FEF"/>
    <w:rsid w:val="00CC1220"/>
    <w:rsid w:val="00CC209B"/>
    <w:rsid w:val="00CC22DB"/>
    <w:rsid w:val="00CC2B82"/>
    <w:rsid w:val="00CC3215"/>
    <w:rsid w:val="00CC3ADC"/>
    <w:rsid w:val="00CC503C"/>
    <w:rsid w:val="00CC620C"/>
    <w:rsid w:val="00CC7B4D"/>
    <w:rsid w:val="00CD0B3B"/>
    <w:rsid w:val="00CD0CD9"/>
    <w:rsid w:val="00CD2112"/>
    <w:rsid w:val="00CD34BB"/>
    <w:rsid w:val="00CD3852"/>
    <w:rsid w:val="00CD3DC6"/>
    <w:rsid w:val="00CD3E12"/>
    <w:rsid w:val="00CD4168"/>
    <w:rsid w:val="00CD42C4"/>
    <w:rsid w:val="00CD47A4"/>
    <w:rsid w:val="00CD4EE1"/>
    <w:rsid w:val="00CD592F"/>
    <w:rsid w:val="00CD6770"/>
    <w:rsid w:val="00CD683D"/>
    <w:rsid w:val="00CD6EAC"/>
    <w:rsid w:val="00CD7BD0"/>
    <w:rsid w:val="00CE02E8"/>
    <w:rsid w:val="00CE1DCF"/>
    <w:rsid w:val="00CE30F1"/>
    <w:rsid w:val="00CE3391"/>
    <w:rsid w:val="00CE3A62"/>
    <w:rsid w:val="00CE4556"/>
    <w:rsid w:val="00CE52D8"/>
    <w:rsid w:val="00CE57BC"/>
    <w:rsid w:val="00CE57EE"/>
    <w:rsid w:val="00CE6628"/>
    <w:rsid w:val="00CE7D10"/>
    <w:rsid w:val="00CF0A70"/>
    <w:rsid w:val="00CF1A59"/>
    <w:rsid w:val="00CF2337"/>
    <w:rsid w:val="00CF26A0"/>
    <w:rsid w:val="00CF2892"/>
    <w:rsid w:val="00CF3195"/>
    <w:rsid w:val="00CF3DE1"/>
    <w:rsid w:val="00CF3F4F"/>
    <w:rsid w:val="00CF465E"/>
    <w:rsid w:val="00CF5A59"/>
    <w:rsid w:val="00CF6123"/>
    <w:rsid w:val="00CF75CC"/>
    <w:rsid w:val="00CF760F"/>
    <w:rsid w:val="00CF7BC8"/>
    <w:rsid w:val="00CF7E09"/>
    <w:rsid w:val="00D00EBF"/>
    <w:rsid w:val="00D01BF7"/>
    <w:rsid w:val="00D01EBC"/>
    <w:rsid w:val="00D01FA3"/>
    <w:rsid w:val="00D02D7B"/>
    <w:rsid w:val="00D03717"/>
    <w:rsid w:val="00D03988"/>
    <w:rsid w:val="00D04A8D"/>
    <w:rsid w:val="00D04C24"/>
    <w:rsid w:val="00D05422"/>
    <w:rsid w:val="00D05F6A"/>
    <w:rsid w:val="00D074B7"/>
    <w:rsid w:val="00D07782"/>
    <w:rsid w:val="00D07A28"/>
    <w:rsid w:val="00D1112A"/>
    <w:rsid w:val="00D131D8"/>
    <w:rsid w:val="00D1402B"/>
    <w:rsid w:val="00D14B68"/>
    <w:rsid w:val="00D14DCC"/>
    <w:rsid w:val="00D154F5"/>
    <w:rsid w:val="00D1586C"/>
    <w:rsid w:val="00D1629F"/>
    <w:rsid w:val="00D1689F"/>
    <w:rsid w:val="00D16B77"/>
    <w:rsid w:val="00D16C16"/>
    <w:rsid w:val="00D17099"/>
    <w:rsid w:val="00D17F44"/>
    <w:rsid w:val="00D21C9B"/>
    <w:rsid w:val="00D21F13"/>
    <w:rsid w:val="00D243EB"/>
    <w:rsid w:val="00D24A31"/>
    <w:rsid w:val="00D24E58"/>
    <w:rsid w:val="00D250BD"/>
    <w:rsid w:val="00D25C7E"/>
    <w:rsid w:val="00D25D2A"/>
    <w:rsid w:val="00D2661F"/>
    <w:rsid w:val="00D27180"/>
    <w:rsid w:val="00D2740A"/>
    <w:rsid w:val="00D27471"/>
    <w:rsid w:val="00D276F1"/>
    <w:rsid w:val="00D27AE2"/>
    <w:rsid w:val="00D27CC1"/>
    <w:rsid w:val="00D314B3"/>
    <w:rsid w:val="00D31BD2"/>
    <w:rsid w:val="00D32AFA"/>
    <w:rsid w:val="00D33403"/>
    <w:rsid w:val="00D33799"/>
    <w:rsid w:val="00D346DE"/>
    <w:rsid w:val="00D34957"/>
    <w:rsid w:val="00D352E7"/>
    <w:rsid w:val="00D35AE8"/>
    <w:rsid w:val="00D35BDC"/>
    <w:rsid w:val="00D36BC8"/>
    <w:rsid w:val="00D36D6F"/>
    <w:rsid w:val="00D37CEC"/>
    <w:rsid w:val="00D403F1"/>
    <w:rsid w:val="00D405AD"/>
    <w:rsid w:val="00D40D03"/>
    <w:rsid w:val="00D41900"/>
    <w:rsid w:val="00D41CBF"/>
    <w:rsid w:val="00D423C3"/>
    <w:rsid w:val="00D42DE4"/>
    <w:rsid w:val="00D436DB"/>
    <w:rsid w:val="00D43C8F"/>
    <w:rsid w:val="00D43ED7"/>
    <w:rsid w:val="00D4532B"/>
    <w:rsid w:val="00D4697D"/>
    <w:rsid w:val="00D46DC8"/>
    <w:rsid w:val="00D5159D"/>
    <w:rsid w:val="00D51C2E"/>
    <w:rsid w:val="00D51D84"/>
    <w:rsid w:val="00D5248B"/>
    <w:rsid w:val="00D530B8"/>
    <w:rsid w:val="00D5374A"/>
    <w:rsid w:val="00D5417C"/>
    <w:rsid w:val="00D54244"/>
    <w:rsid w:val="00D5487A"/>
    <w:rsid w:val="00D54EDE"/>
    <w:rsid w:val="00D56642"/>
    <w:rsid w:val="00D57564"/>
    <w:rsid w:val="00D60460"/>
    <w:rsid w:val="00D60CC9"/>
    <w:rsid w:val="00D64739"/>
    <w:rsid w:val="00D64B67"/>
    <w:rsid w:val="00D64DB5"/>
    <w:rsid w:val="00D66291"/>
    <w:rsid w:val="00D665E1"/>
    <w:rsid w:val="00D66677"/>
    <w:rsid w:val="00D667BF"/>
    <w:rsid w:val="00D66C12"/>
    <w:rsid w:val="00D66C19"/>
    <w:rsid w:val="00D6733B"/>
    <w:rsid w:val="00D70753"/>
    <w:rsid w:val="00D712C4"/>
    <w:rsid w:val="00D714F9"/>
    <w:rsid w:val="00D72174"/>
    <w:rsid w:val="00D72C6C"/>
    <w:rsid w:val="00D73649"/>
    <w:rsid w:val="00D73927"/>
    <w:rsid w:val="00D73A46"/>
    <w:rsid w:val="00D74EF1"/>
    <w:rsid w:val="00D75BAD"/>
    <w:rsid w:val="00D75E4B"/>
    <w:rsid w:val="00D76490"/>
    <w:rsid w:val="00D76574"/>
    <w:rsid w:val="00D7664F"/>
    <w:rsid w:val="00D76A6C"/>
    <w:rsid w:val="00D80102"/>
    <w:rsid w:val="00D80F81"/>
    <w:rsid w:val="00D81FB8"/>
    <w:rsid w:val="00D82B56"/>
    <w:rsid w:val="00D83CE4"/>
    <w:rsid w:val="00D84A77"/>
    <w:rsid w:val="00D84DB0"/>
    <w:rsid w:val="00D8512E"/>
    <w:rsid w:val="00D852A1"/>
    <w:rsid w:val="00D85AFB"/>
    <w:rsid w:val="00D87E1F"/>
    <w:rsid w:val="00D9043B"/>
    <w:rsid w:val="00D90A64"/>
    <w:rsid w:val="00D90D3F"/>
    <w:rsid w:val="00D9150A"/>
    <w:rsid w:val="00D9160B"/>
    <w:rsid w:val="00D91FE2"/>
    <w:rsid w:val="00D928DB"/>
    <w:rsid w:val="00D92ECE"/>
    <w:rsid w:val="00D952FD"/>
    <w:rsid w:val="00D954A1"/>
    <w:rsid w:val="00D955B6"/>
    <w:rsid w:val="00D96AC2"/>
    <w:rsid w:val="00D96EFD"/>
    <w:rsid w:val="00D97763"/>
    <w:rsid w:val="00DA03B0"/>
    <w:rsid w:val="00DA1366"/>
    <w:rsid w:val="00DA1E88"/>
    <w:rsid w:val="00DA2C52"/>
    <w:rsid w:val="00DA2DA7"/>
    <w:rsid w:val="00DA3210"/>
    <w:rsid w:val="00DA36AD"/>
    <w:rsid w:val="00DA3D45"/>
    <w:rsid w:val="00DA46AC"/>
    <w:rsid w:val="00DA660E"/>
    <w:rsid w:val="00DB0191"/>
    <w:rsid w:val="00DB02C6"/>
    <w:rsid w:val="00DB0AD5"/>
    <w:rsid w:val="00DB0F77"/>
    <w:rsid w:val="00DB152E"/>
    <w:rsid w:val="00DB33FE"/>
    <w:rsid w:val="00DB50A4"/>
    <w:rsid w:val="00DB56DB"/>
    <w:rsid w:val="00DB570B"/>
    <w:rsid w:val="00DB678B"/>
    <w:rsid w:val="00DB706C"/>
    <w:rsid w:val="00DC001F"/>
    <w:rsid w:val="00DC0D70"/>
    <w:rsid w:val="00DC13BE"/>
    <w:rsid w:val="00DC17E4"/>
    <w:rsid w:val="00DC228A"/>
    <w:rsid w:val="00DC24B8"/>
    <w:rsid w:val="00DC254B"/>
    <w:rsid w:val="00DC257B"/>
    <w:rsid w:val="00DC3F20"/>
    <w:rsid w:val="00DC408E"/>
    <w:rsid w:val="00DC562B"/>
    <w:rsid w:val="00DC6D17"/>
    <w:rsid w:val="00DC777A"/>
    <w:rsid w:val="00DD0062"/>
    <w:rsid w:val="00DD10CD"/>
    <w:rsid w:val="00DD1846"/>
    <w:rsid w:val="00DD1F9D"/>
    <w:rsid w:val="00DD2641"/>
    <w:rsid w:val="00DD29B8"/>
    <w:rsid w:val="00DD437B"/>
    <w:rsid w:val="00DD4D0C"/>
    <w:rsid w:val="00DD51F3"/>
    <w:rsid w:val="00DD58E1"/>
    <w:rsid w:val="00DD58FD"/>
    <w:rsid w:val="00DD628B"/>
    <w:rsid w:val="00DD74C7"/>
    <w:rsid w:val="00DD7584"/>
    <w:rsid w:val="00DE0D9B"/>
    <w:rsid w:val="00DE2486"/>
    <w:rsid w:val="00DE31CD"/>
    <w:rsid w:val="00DE3323"/>
    <w:rsid w:val="00DE3B2D"/>
    <w:rsid w:val="00DE54E6"/>
    <w:rsid w:val="00DE5878"/>
    <w:rsid w:val="00DE5D8B"/>
    <w:rsid w:val="00DE5ECD"/>
    <w:rsid w:val="00DE7652"/>
    <w:rsid w:val="00DE7884"/>
    <w:rsid w:val="00DF193A"/>
    <w:rsid w:val="00DF1FF2"/>
    <w:rsid w:val="00DF233E"/>
    <w:rsid w:val="00DF2455"/>
    <w:rsid w:val="00DF4124"/>
    <w:rsid w:val="00DF4CF6"/>
    <w:rsid w:val="00DF52FF"/>
    <w:rsid w:val="00DF5E77"/>
    <w:rsid w:val="00DF669B"/>
    <w:rsid w:val="00DF6A70"/>
    <w:rsid w:val="00E00096"/>
    <w:rsid w:val="00E001A4"/>
    <w:rsid w:val="00E0065B"/>
    <w:rsid w:val="00E00F3D"/>
    <w:rsid w:val="00E01066"/>
    <w:rsid w:val="00E018CE"/>
    <w:rsid w:val="00E02205"/>
    <w:rsid w:val="00E0276B"/>
    <w:rsid w:val="00E03762"/>
    <w:rsid w:val="00E03CA9"/>
    <w:rsid w:val="00E0406B"/>
    <w:rsid w:val="00E04624"/>
    <w:rsid w:val="00E04DB7"/>
    <w:rsid w:val="00E05017"/>
    <w:rsid w:val="00E051D4"/>
    <w:rsid w:val="00E0572B"/>
    <w:rsid w:val="00E12303"/>
    <w:rsid w:val="00E127E8"/>
    <w:rsid w:val="00E12B1A"/>
    <w:rsid w:val="00E12F04"/>
    <w:rsid w:val="00E147E5"/>
    <w:rsid w:val="00E1574F"/>
    <w:rsid w:val="00E160E2"/>
    <w:rsid w:val="00E170F2"/>
    <w:rsid w:val="00E1736A"/>
    <w:rsid w:val="00E175FD"/>
    <w:rsid w:val="00E17CAB"/>
    <w:rsid w:val="00E17F53"/>
    <w:rsid w:val="00E17FCA"/>
    <w:rsid w:val="00E20F11"/>
    <w:rsid w:val="00E2134A"/>
    <w:rsid w:val="00E228B5"/>
    <w:rsid w:val="00E2347C"/>
    <w:rsid w:val="00E24006"/>
    <w:rsid w:val="00E258D6"/>
    <w:rsid w:val="00E26354"/>
    <w:rsid w:val="00E27779"/>
    <w:rsid w:val="00E30773"/>
    <w:rsid w:val="00E30EF9"/>
    <w:rsid w:val="00E31E3D"/>
    <w:rsid w:val="00E3203D"/>
    <w:rsid w:val="00E321C2"/>
    <w:rsid w:val="00E33123"/>
    <w:rsid w:val="00E3398C"/>
    <w:rsid w:val="00E34442"/>
    <w:rsid w:val="00E34A61"/>
    <w:rsid w:val="00E34FB5"/>
    <w:rsid w:val="00E357FD"/>
    <w:rsid w:val="00E359DA"/>
    <w:rsid w:val="00E36FBB"/>
    <w:rsid w:val="00E378DB"/>
    <w:rsid w:val="00E37AB1"/>
    <w:rsid w:val="00E40F8B"/>
    <w:rsid w:val="00E414B3"/>
    <w:rsid w:val="00E41D43"/>
    <w:rsid w:val="00E4321D"/>
    <w:rsid w:val="00E437A6"/>
    <w:rsid w:val="00E441A4"/>
    <w:rsid w:val="00E44383"/>
    <w:rsid w:val="00E44AF8"/>
    <w:rsid w:val="00E44E0B"/>
    <w:rsid w:val="00E44E5A"/>
    <w:rsid w:val="00E458D3"/>
    <w:rsid w:val="00E45B42"/>
    <w:rsid w:val="00E45D98"/>
    <w:rsid w:val="00E464B2"/>
    <w:rsid w:val="00E50417"/>
    <w:rsid w:val="00E51450"/>
    <w:rsid w:val="00E523F5"/>
    <w:rsid w:val="00E52458"/>
    <w:rsid w:val="00E5271A"/>
    <w:rsid w:val="00E5294F"/>
    <w:rsid w:val="00E52F44"/>
    <w:rsid w:val="00E537D7"/>
    <w:rsid w:val="00E53FC6"/>
    <w:rsid w:val="00E544A1"/>
    <w:rsid w:val="00E544FF"/>
    <w:rsid w:val="00E552F5"/>
    <w:rsid w:val="00E56E86"/>
    <w:rsid w:val="00E604D6"/>
    <w:rsid w:val="00E606B1"/>
    <w:rsid w:val="00E60FA0"/>
    <w:rsid w:val="00E614FF"/>
    <w:rsid w:val="00E61627"/>
    <w:rsid w:val="00E62377"/>
    <w:rsid w:val="00E623F5"/>
    <w:rsid w:val="00E62DFB"/>
    <w:rsid w:val="00E62FF1"/>
    <w:rsid w:val="00E63211"/>
    <w:rsid w:val="00E63854"/>
    <w:rsid w:val="00E64131"/>
    <w:rsid w:val="00E64220"/>
    <w:rsid w:val="00E6708D"/>
    <w:rsid w:val="00E70357"/>
    <w:rsid w:val="00E70458"/>
    <w:rsid w:val="00E70744"/>
    <w:rsid w:val="00E71067"/>
    <w:rsid w:val="00E75832"/>
    <w:rsid w:val="00E76C62"/>
    <w:rsid w:val="00E7792C"/>
    <w:rsid w:val="00E77F0D"/>
    <w:rsid w:val="00E8012D"/>
    <w:rsid w:val="00E8087B"/>
    <w:rsid w:val="00E8119A"/>
    <w:rsid w:val="00E81DC2"/>
    <w:rsid w:val="00E83432"/>
    <w:rsid w:val="00E84AAB"/>
    <w:rsid w:val="00E85002"/>
    <w:rsid w:val="00E85018"/>
    <w:rsid w:val="00E85DCF"/>
    <w:rsid w:val="00E860B9"/>
    <w:rsid w:val="00E86402"/>
    <w:rsid w:val="00E869A4"/>
    <w:rsid w:val="00E876A7"/>
    <w:rsid w:val="00E87982"/>
    <w:rsid w:val="00E87D2B"/>
    <w:rsid w:val="00E90385"/>
    <w:rsid w:val="00E908A7"/>
    <w:rsid w:val="00E91BB1"/>
    <w:rsid w:val="00E931AB"/>
    <w:rsid w:val="00E93D75"/>
    <w:rsid w:val="00E94169"/>
    <w:rsid w:val="00E9434C"/>
    <w:rsid w:val="00E9499F"/>
    <w:rsid w:val="00E95364"/>
    <w:rsid w:val="00E9559D"/>
    <w:rsid w:val="00E95640"/>
    <w:rsid w:val="00E960FD"/>
    <w:rsid w:val="00E968D6"/>
    <w:rsid w:val="00E96B85"/>
    <w:rsid w:val="00E96F32"/>
    <w:rsid w:val="00E972B2"/>
    <w:rsid w:val="00EA00ED"/>
    <w:rsid w:val="00EA0C26"/>
    <w:rsid w:val="00EA2296"/>
    <w:rsid w:val="00EA2F3D"/>
    <w:rsid w:val="00EA332D"/>
    <w:rsid w:val="00EA480A"/>
    <w:rsid w:val="00EA4B96"/>
    <w:rsid w:val="00EA5A70"/>
    <w:rsid w:val="00EA7D89"/>
    <w:rsid w:val="00EB05BE"/>
    <w:rsid w:val="00EB0620"/>
    <w:rsid w:val="00EB1498"/>
    <w:rsid w:val="00EB2D1B"/>
    <w:rsid w:val="00EB3561"/>
    <w:rsid w:val="00EB36DF"/>
    <w:rsid w:val="00EB3D93"/>
    <w:rsid w:val="00EB3F2E"/>
    <w:rsid w:val="00EB49C7"/>
    <w:rsid w:val="00EB50AA"/>
    <w:rsid w:val="00EB55EC"/>
    <w:rsid w:val="00EB5FD2"/>
    <w:rsid w:val="00EB611E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26DF"/>
    <w:rsid w:val="00EC463C"/>
    <w:rsid w:val="00EC483C"/>
    <w:rsid w:val="00EC4A36"/>
    <w:rsid w:val="00EC50E2"/>
    <w:rsid w:val="00EC5107"/>
    <w:rsid w:val="00EC5D88"/>
    <w:rsid w:val="00EC637F"/>
    <w:rsid w:val="00EC692D"/>
    <w:rsid w:val="00EC781D"/>
    <w:rsid w:val="00EC787C"/>
    <w:rsid w:val="00ED00EE"/>
    <w:rsid w:val="00ED065B"/>
    <w:rsid w:val="00ED0AE4"/>
    <w:rsid w:val="00ED1272"/>
    <w:rsid w:val="00ED3C3F"/>
    <w:rsid w:val="00ED40E2"/>
    <w:rsid w:val="00ED43BB"/>
    <w:rsid w:val="00ED5C59"/>
    <w:rsid w:val="00ED7380"/>
    <w:rsid w:val="00ED7798"/>
    <w:rsid w:val="00ED779A"/>
    <w:rsid w:val="00EE0022"/>
    <w:rsid w:val="00EE1024"/>
    <w:rsid w:val="00EE11C2"/>
    <w:rsid w:val="00EE134B"/>
    <w:rsid w:val="00EE14D6"/>
    <w:rsid w:val="00EE196C"/>
    <w:rsid w:val="00EE2769"/>
    <w:rsid w:val="00EE2CCD"/>
    <w:rsid w:val="00EE3267"/>
    <w:rsid w:val="00EE365A"/>
    <w:rsid w:val="00EE41A7"/>
    <w:rsid w:val="00EE4803"/>
    <w:rsid w:val="00EE4A91"/>
    <w:rsid w:val="00EE5817"/>
    <w:rsid w:val="00EE611B"/>
    <w:rsid w:val="00EE7BF0"/>
    <w:rsid w:val="00EE7CBF"/>
    <w:rsid w:val="00EF0505"/>
    <w:rsid w:val="00EF0710"/>
    <w:rsid w:val="00EF0ABA"/>
    <w:rsid w:val="00EF16B1"/>
    <w:rsid w:val="00EF1C95"/>
    <w:rsid w:val="00EF1CAE"/>
    <w:rsid w:val="00EF21FA"/>
    <w:rsid w:val="00EF282E"/>
    <w:rsid w:val="00EF291E"/>
    <w:rsid w:val="00EF3FB1"/>
    <w:rsid w:val="00EF5218"/>
    <w:rsid w:val="00EF54B7"/>
    <w:rsid w:val="00EF5689"/>
    <w:rsid w:val="00EF5B13"/>
    <w:rsid w:val="00EF5EA3"/>
    <w:rsid w:val="00EF628A"/>
    <w:rsid w:val="00EF7B67"/>
    <w:rsid w:val="00F0016A"/>
    <w:rsid w:val="00F005CD"/>
    <w:rsid w:val="00F01B35"/>
    <w:rsid w:val="00F02097"/>
    <w:rsid w:val="00F021D2"/>
    <w:rsid w:val="00F02E71"/>
    <w:rsid w:val="00F044F1"/>
    <w:rsid w:val="00F053B9"/>
    <w:rsid w:val="00F054C8"/>
    <w:rsid w:val="00F061D1"/>
    <w:rsid w:val="00F066D4"/>
    <w:rsid w:val="00F06851"/>
    <w:rsid w:val="00F07298"/>
    <w:rsid w:val="00F07AAF"/>
    <w:rsid w:val="00F113FC"/>
    <w:rsid w:val="00F12EF9"/>
    <w:rsid w:val="00F142B1"/>
    <w:rsid w:val="00F14608"/>
    <w:rsid w:val="00F149BD"/>
    <w:rsid w:val="00F14C16"/>
    <w:rsid w:val="00F14F22"/>
    <w:rsid w:val="00F153A3"/>
    <w:rsid w:val="00F15A13"/>
    <w:rsid w:val="00F15FCA"/>
    <w:rsid w:val="00F17FC3"/>
    <w:rsid w:val="00F2123C"/>
    <w:rsid w:val="00F2128A"/>
    <w:rsid w:val="00F213C3"/>
    <w:rsid w:val="00F21B98"/>
    <w:rsid w:val="00F21DB7"/>
    <w:rsid w:val="00F21E8A"/>
    <w:rsid w:val="00F22378"/>
    <w:rsid w:val="00F22E10"/>
    <w:rsid w:val="00F22E90"/>
    <w:rsid w:val="00F230D3"/>
    <w:rsid w:val="00F235FA"/>
    <w:rsid w:val="00F23C65"/>
    <w:rsid w:val="00F25D06"/>
    <w:rsid w:val="00F2606A"/>
    <w:rsid w:val="00F262A9"/>
    <w:rsid w:val="00F265D7"/>
    <w:rsid w:val="00F26B24"/>
    <w:rsid w:val="00F26E48"/>
    <w:rsid w:val="00F26FDC"/>
    <w:rsid w:val="00F2767C"/>
    <w:rsid w:val="00F300DD"/>
    <w:rsid w:val="00F30CD7"/>
    <w:rsid w:val="00F3146E"/>
    <w:rsid w:val="00F325EF"/>
    <w:rsid w:val="00F33D66"/>
    <w:rsid w:val="00F33DC1"/>
    <w:rsid w:val="00F34C42"/>
    <w:rsid w:val="00F35380"/>
    <w:rsid w:val="00F35B48"/>
    <w:rsid w:val="00F36123"/>
    <w:rsid w:val="00F36304"/>
    <w:rsid w:val="00F36A07"/>
    <w:rsid w:val="00F37101"/>
    <w:rsid w:val="00F375E3"/>
    <w:rsid w:val="00F40242"/>
    <w:rsid w:val="00F403D3"/>
    <w:rsid w:val="00F40613"/>
    <w:rsid w:val="00F40A84"/>
    <w:rsid w:val="00F40EB2"/>
    <w:rsid w:val="00F41057"/>
    <w:rsid w:val="00F42EE9"/>
    <w:rsid w:val="00F43E7E"/>
    <w:rsid w:val="00F43F12"/>
    <w:rsid w:val="00F4420A"/>
    <w:rsid w:val="00F45516"/>
    <w:rsid w:val="00F4727E"/>
    <w:rsid w:val="00F47D5B"/>
    <w:rsid w:val="00F47FF1"/>
    <w:rsid w:val="00F50D6A"/>
    <w:rsid w:val="00F51349"/>
    <w:rsid w:val="00F51D01"/>
    <w:rsid w:val="00F52118"/>
    <w:rsid w:val="00F52FA8"/>
    <w:rsid w:val="00F53372"/>
    <w:rsid w:val="00F53517"/>
    <w:rsid w:val="00F537FC"/>
    <w:rsid w:val="00F53B8D"/>
    <w:rsid w:val="00F53EA4"/>
    <w:rsid w:val="00F5462C"/>
    <w:rsid w:val="00F550BA"/>
    <w:rsid w:val="00F55B90"/>
    <w:rsid w:val="00F55CF4"/>
    <w:rsid w:val="00F55E7C"/>
    <w:rsid w:val="00F56B94"/>
    <w:rsid w:val="00F576F5"/>
    <w:rsid w:val="00F60014"/>
    <w:rsid w:val="00F60192"/>
    <w:rsid w:val="00F61590"/>
    <w:rsid w:val="00F6170D"/>
    <w:rsid w:val="00F61715"/>
    <w:rsid w:val="00F63235"/>
    <w:rsid w:val="00F641E7"/>
    <w:rsid w:val="00F647E9"/>
    <w:rsid w:val="00F657EA"/>
    <w:rsid w:val="00F65982"/>
    <w:rsid w:val="00F65E03"/>
    <w:rsid w:val="00F65FD8"/>
    <w:rsid w:val="00F66638"/>
    <w:rsid w:val="00F668F1"/>
    <w:rsid w:val="00F66B5E"/>
    <w:rsid w:val="00F67632"/>
    <w:rsid w:val="00F67AE1"/>
    <w:rsid w:val="00F70202"/>
    <w:rsid w:val="00F705FB"/>
    <w:rsid w:val="00F70D31"/>
    <w:rsid w:val="00F721DD"/>
    <w:rsid w:val="00F72DED"/>
    <w:rsid w:val="00F7318E"/>
    <w:rsid w:val="00F73302"/>
    <w:rsid w:val="00F737CD"/>
    <w:rsid w:val="00F73857"/>
    <w:rsid w:val="00F739CF"/>
    <w:rsid w:val="00F73FE1"/>
    <w:rsid w:val="00F7420F"/>
    <w:rsid w:val="00F74374"/>
    <w:rsid w:val="00F74D0F"/>
    <w:rsid w:val="00F75DD7"/>
    <w:rsid w:val="00F75FE6"/>
    <w:rsid w:val="00F7747A"/>
    <w:rsid w:val="00F77732"/>
    <w:rsid w:val="00F802AD"/>
    <w:rsid w:val="00F80426"/>
    <w:rsid w:val="00F81684"/>
    <w:rsid w:val="00F82B4A"/>
    <w:rsid w:val="00F8417A"/>
    <w:rsid w:val="00F841F5"/>
    <w:rsid w:val="00F845E4"/>
    <w:rsid w:val="00F85AB3"/>
    <w:rsid w:val="00F87690"/>
    <w:rsid w:val="00F90A31"/>
    <w:rsid w:val="00F91553"/>
    <w:rsid w:val="00F92084"/>
    <w:rsid w:val="00F92105"/>
    <w:rsid w:val="00F92897"/>
    <w:rsid w:val="00F928DB"/>
    <w:rsid w:val="00F93396"/>
    <w:rsid w:val="00F933CB"/>
    <w:rsid w:val="00F94C1F"/>
    <w:rsid w:val="00F9607D"/>
    <w:rsid w:val="00F960E1"/>
    <w:rsid w:val="00FA0BC3"/>
    <w:rsid w:val="00FA155C"/>
    <w:rsid w:val="00FA17D6"/>
    <w:rsid w:val="00FA1FE0"/>
    <w:rsid w:val="00FA1FFF"/>
    <w:rsid w:val="00FA28C9"/>
    <w:rsid w:val="00FA532C"/>
    <w:rsid w:val="00FA5604"/>
    <w:rsid w:val="00FA5A39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57F"/>
    <w:rsid w:val="00FB6EA1"/>
    <w:rsid w:val="00FC0A1C"/>
    <w:rsid w:val="00FC0FB9"/>
    <w:rsid w:val="00FC1E5D"/>
    <w:rsid w:val="00FC1EA5"/>
    <w:rsid w:val="00FC2395"/>
    <w:rsid w:val="00FC2B1E"/>
    <w:rsid w:val="00FC2BF8"/>
    <w:rsid w:val="00FC36AF"/>
    <w:rsid w:val="00FC4322"/>
    <w:rsid w:val="00FC4590"/>
    <w:rsid w:val="00FC4640"/>
    <w:rsid w:val="00FC4CD9"/>
    <w:rsid w:val="00FC4FBD"/>
    <w:rsid w:val="00FC515F"/>
    <w:rsid w:val="00FC5946"/>
    <w:rsid w:val="00FC623E"/>
    <w:rsid w:val="00FC73CC"/>
    <w:rsid w:val="00FC7B67"/>
    <w:rsid w:val="00FD1688"/>
    <w:rsid w:val="00FD1767"/>
    <w:rsid w:val="00FD1BD4"/>
    <w:rsid w:val="00FD2058"/>
    <w:rsid w:val="00FD24A9"/>
    <w:rsid w:val="00FD2623"/>
    <w:rsid w:val="00FD31E9"/>
    <w:rsid w:val="00FD5C3F"/>
    <w:rsid w:val="00FD6699"/>
    <w:rsid w:val="00FD7C89"/>
    <w:rsid w:val="00FE0C6D"/>
    <w:rsid w:val="00FE0EFB"/>
    <w:rsid w:val="00FE17A0"/>
    <w:rsid w:val="00FE21BA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FE"/>
    <w:rsid w:val="00FF0AF9"/>
    <w:rsid w:val="00FF355E"/>
    <w:rsid w:val="00FF4C39"/>
    <w:rsid w:val="00FF4DC4"/>
    <w:rsid w:val="00FF52C7"/>
    <w:rsid w:val="00FF5A15"/>
    <w:rsid w:val="00FF5C49"/>
    <w:rsid w:val="00FF5D26"/>
    <w:rsid w:val="00FF62DC"/>
    <w:rsid w:val="00FF7254"/>
    <w:rsid w:val="00FF7408"/>
    <w:rsid w:val="00FF7BED"/>
    <w:rsid w:val="00FF7E44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487E"/>
  <w15:docId w15:val="{A535911A-65FC-4028-BDB5-F5C04F2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7C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02637"/>
    <w:pPr>
      <w:spacing w:before="100" w:beforeAutospacing="1" w:after="100" w:afterAutospacing="1"/>
    </w:pPr>
  </w:style>
  <w:style w:type="paragraph" w:customStyle="1" w:styleId="box458203">
    <w:name w:val="box_458203"/>
    <w:basedOn w:val="Normal"/>
    <w:rsid w:val="00AA70ED"/>
    <w:pPr>
      <w:spacing w:before="100" w:beforeAutospacing="1" w:after="100" w:afterAutospacing="1"/>
    </w:pPr>
  </w:style>
  <w:style w:type="paragraph" w:customStyle="1" w:styleId="Paragraf">
    <w:name w:val="Paragraf"/>
    <w:basedOn w:val="Normal"/>
    <w:rsid w:val="00AA70ED"/>
    <w:pPr>
      <w:spacing w:before="120"/>
      <w:ind w:firstLine="567"/>
      <w:jc w:val="both"/>
    </w:pPr>
    <w:rPr>
      <w:szCs w:val="20"/>
    </w:rPr>
  </w:style>
  <w:style w:type="paragraph" w:customStyle="1" w:styleId="Paragraf-">
    <w:name w:val="Paragraf-"/>
    <w:basedOn w:val="Paragraf"/>
    <w:rsid w:val="00AA70ED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F5ED-32E6-4778-8F1F-61E4479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Ivanec</dc:creator>
  <cp:lastModifiedBy>Mario Klapsa</cp:lastModifiedBy>
  <cp:revision>3</cp:revision>
  <cp:lastPrinted>2020-12-03T09:08:00Z</cp:lastPrinted>
  <dcterms:created xsi:type="dcterms:W3CDTF">2021-12-20T11:44:00Z</dcterms:created>
  <dcterms:modified xsi:type="dcterms:W3CDTF">2021-12-20T11:45:00Z</dcterms:modified>
</cp:coreProperties>
</file>