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4206" w14:textId="77777777" w:rsidR="005F10CE" w:rsidRDefault="009C1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Obrazloženje prijedloga Proračuna Općine Maruševec za 2022. godinu</w:t>
      </w:r>
    </w:p>
    <w:p w14:paraId="138FB1A1" w14:textId="77777777" w:rsidR="005F10CE" w:rsidRDefault="009C1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prijedloga Projekcija Proračuna Općine Maruševec za</w:t>
      </w:r>
    </w:p>
    <w:p w14:paraId="0A9E31FA" w14:textId="77777777" w:rsidR="005F10CE" w:rsidRDefault="009C1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2023. i 2024. godinu</w:t>
      </w:r>
    </w:p>
    <w:p w14:paraId="71EFF80B" w14:textId="77777777" w:rsidR="005F10CE" w:rsidRDefault="005F10CE">
      <w:pPr>
        <w:jc w:val="both"/>
        <w:rPr>
          <w:sz w:val="28"/>
          <w:szCs w:val="28"/>
        </w:rPr>
      </w:pPr>
    </w:p>
    <w:p w14:paraId="1E0BAEFE" w14:textId="77777777" w:rsidR="005F10CE" w:rsidRDefault="005F10CE">
      <w:pPr>
        <w:jc w:val="both"/>
        <w:rPr>
          <w:sz w:val="28"/>
          <w:szCs w:val="28"/>
        </w:rPr>
      </w:pPr>
    </w:p>
    <w:p w14:paraId="4144F674" w14:textId="77777777" w:rsidR="005F10CE" w:rsidRDefault="009C1FE5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UVOD</w:t>
      </w:r>
    </w:p>
    <w:p w14:paraId="0DAF921E" w14:textId="77777777" w:rsidR="005F10CE" w:rsidRDefault="005F10CE">
      <w:pPr>
        <w:jc w:val="both"/>
        <w:rPr>
          <w:sz w:val="28"/>
          <w:szCs w:val="28"/>
        </w:rPr>
      </w:pPr>
    </w:p>
    <w:p w14:paraId="23853170" w14:textId="77777777" w:rsidR="005F10CE" w:rsidRDefault="009C1F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Sukladno  Zakonu o proračunu (Narodne novine , br. 87/08,136/12 i 15/15 ), a na </w:t>
      </w:r>
      <w:r>
        <w:rPr>
          <w:sz w:val="28"/>
          <w:szCs w:val="28"/>
        </w:rPr>
        <w:t>temelju Smjernica ekonomske i fiskalne politike za razdoblje 2022-2024 godine (dalje u tekstu :Smjernice), Ministarstvo financija je sastavilo Upute za izradu proračuna jedinica lokalne i područne (regionalne ) samouprave.</w:t>
      </w:r>
    </w:p>
    <w:p w14:paraId="47C6536E" w14:textId="77777777" w:rsidR="005F10CE" w:rsidRDefault="009C1FE5">
      <w:pPr>
        <w:jc w:val="both"/>
        <w:rPr>
          <w:sz w:val="28"/>
          <w:szCs w:val="28"/>
        </w:rPr>
      </w:pPr>
      <w:r>
        <w:rPr>
          <w:sz w:val="28"/>
          <w:szCs w:val="28"/>
        </w:rPr>
        <w:t>Metodologija za izradu prijedloga</w:t>
      </w:r>
      <w:r>
        <w:rPr>
          <w:sz w:val="28"/>
          <w:szCs w:val="28"/>
        </w:rPr>
        <w:t xml:space="preserve"> financijskog plana, odnosno proračuna jedinice lokalne i područne (regionalne ) samouprave propisana je Zakonom o proračunu i pod zakonskim aktima kojima se regulira provedba Zakona, ponajprije Pravilnikom o proračunskim klasifikacijama (NN br. 26/10, 120</w:t>
      </w:r>
      <w:r>
        <w:rPr>
          <w:sz w:val="28"/>
          <w:szCs w:val="28"/>
        </w:rPr>
        <w:t>/13 i 1/20) i Pravilnikom o proračunskom računovodstvu i Računskom planu (NN br. 124/14, 115/15, 87/16, 3/18, 126/19 i 108/20.).</w:t>
      </w:r>
    </w:p>
    <w:p w14:paraId="1E7B7037" w14:textId="77777777" w:rsidR="005F10CE" w:rsidRDefault="009C1FE5">
      <w:pPr>
        <w:jc w:val="both"/>
        <w:rPr>
          <w:sz w:val="28"/>
          <w:szCs w:val="28"/>
        </w:rPr>
      </w:pPr>
      <w:r>
        <w:rPr>
          <w:sz w:val="28"/>
          <w:szCs w:val="28"/>
        </w:rPr>
        <w:t>Zakon o Proračunu mijenjao se 2015. godine, a dio novina koje su donijele izmjene i dopune ovog Zakona obilježit će proces prip</w:t>
      </w:r>
      <w:r>
        <w:rPr>
          <w:sz w:val="28"/>
          <w:szCs w:val="28"/>
        </w:rPr>
        <w:t>reme proračuna na lokalnoj te područnoj (regionalnoj ) razini.</w:t>
      </w:r>
    </w:p>
    <w:p w14:paraId="008CABE0" w14:textId="77777777" w:rsidR="005F10CE" w:rsidRDefault="009C1FE5">
      <w:pPr>
        <w:jc w:val="both"/>
        <w:rPr>
          <w:sz w:val="28"/>
          <w:szCs w:val="28"/>
        </w:rPr>
      </w:pPr>
      <w:r>
        <w:rPr>
          <w:sz w:val="28"/>
          <w:szCs w:val="28"/>
        </w:rPr>
        <w:t>Predstavničko tijelo jedinice lokalne i područne (regionalne ) samouprave donosi Proračun jedinice lokalne i područne (regionalne ) samouprave za 2022. godinu, kao i Projekcije Proračuna za 202</w:t>
      </w:r>
      <w:r>
        <w:rPr>
          <w:sz w:val="28"/>
          <w:szCs w:val="28"/>
        </w:rPr>
        <w:t>3. i 2024. godinu.</w:t>
      </w:r>
    </w:p>
    <w:p w14:paraId="2FAA6533" w14:textId="77777777" w:rsidR="005F10CE" w:rsidRDefault="005F10CE">
      <w:pPr>
        <w:jc w:val="both"/>
        <w:rPr>
          <w:sz w:val="28"/>
          <w:szCs w:val="28"/>
        </w:rPr>
      </w:pPr>
    </w:p>
    <w:p w14:paraId="36F9318B" w14:textId="77777777" w:rsidR="005F10CE" w:rsidRDefault="005F10CE">
      <w:pPr>
        <w:rPr>
          <w:b/>
          <w:sz w:val="28"/>
          <w:szCs w:val="28"/>
        </w:rPr>
      </w:pPr>
    </w:p>
    <w:p w14:paraId="10EE6293" w14:textId="77777777" w:rsidR="005F10CE" w:rsidRDefault="009C1FE5">
      <w:pPr>
        <w:rPr>
          <w:b/>
          <w:sz w:val="28"/>
          <w:szCs w:val="28"/>
        </w:rPr>
      </w:pPr>
      <w:r>
        <w:rPr>
          <w:b/>
          <w:sz w:val="28"/>
          <w:szCs w:val="28"/>
        </w:rPr>
        <w:t>II. OBRAZLOŽENJE PRIHODA / PRIMITAKA</w:t>
      </w:r>
    </w:p>
    <w:p w14:paraId="24485EB2" w14:textId="77777777" w:rsidR="005F10CE" w:rsidRDefault="005F10CE">
      <w:pPr>
        <w:jc w:val="both"/>
        <w:rPr>
          <w:sz w:val="28"/>
          <w:szCs w:val="28"/>
        </w:rPr>
      </w:pPr>
    </w:p>
    <w:p w14:paraId="07659C79" w14:textId="77777777" w:rsidR="005F10CE" w:rsidRDefault="009C1FE5">
      <w:pPr>
        <w:jc w:val="both"/>
        <w:rPr>
          <w:sz w:val="28"/>
          <w:szCs w:val="28"/>
        </w:rPr>
      </w:pPr>
      <w:r>
        <w:rPr>
          <w:sz w:val="28"/>
          <w:szCs w:val="28"/>
        </w:rPr>
        <w:t>Prijedlog Proračuna Općine Maruševec za 2022. godinu utvrđen je u iznosu =26.970.000,00 kn u prihodovnoj i rashodovnoj strani.</w:t>
      </w:r>
    </w:p>
    <w:p w14:paraId="60307E36" w14:textId="77777777" w:rsidR="005F10CE" w:rsidRDefault="005F10CE">
      <w:pPr>
        <w:jc w:val="both"/>
        <w:rPr>
          <w:sz w:val="28"/>
          <w:szCs w:val="28"/>
        </w:rPr>
      </w:pPr>
    </w:p>
    <w:p w14:paraId="3F66B68F" w14:textId="77777777" w:rsidR="005F10CE" w:rsidRDefault="009C1F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 strukturi , prihodi poslovanja sastoje u najvećem iznosu od </w:t>
      </w:r>
      <w:r>
        <w:rPr>
          <w:sz w:val="28"/>
          <w:szCs w:val="28"/>
        </w:rPr>
        <w:t>prihoda poreza i prireza na dohodak od nesamostalnog rada.</w:t>
      </w:r>
    </w:p>
    <w:p w14:paraId="627656BA" w14:textId="77777777" w:rsidR="005F10CE" w:rsidRDefault="009C1F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Navedeni prihodi su najznačajniji izvor financiranja i planirani su Proračunom Općine Maruševec  za  2022. godinu u iznosu od  = 11.182.000,00 kn                        </w:t>
      </w:r>
    </w:p>
    <w:p w14:paraId="70EA020C" w14:textId="77777777" w:rsidR="005F10CE" w:rsidRDefault="009C1FE5">
      <w:pPr>
        <w:jc w:val="both"/>
        <w:rPr>
          <w:sz w:val="28"/>
          <w:szCs w:val="28"/>
        </w:rPr>
      </w:pPr>
      <w:r>
        <w:rPr>
          <w:sz w:val="28"/>
          <w:szCs w:val="28"/>
        </w:rPr>
        <w:t>Navedeno je u  većem iznosu</w:t>
      </w:r>
      <w:r>
        <w:rPr>
          <w:sz w:val="28"/>
          <w:szCs w:val="28"/>
        </w:rPr>
        <w:t xml:space="preserve"> u odnosu na 2021. godinu kada je navedeni prihod planiran u iznosu od =11.052.000,00 kn</w:t>
      </w:r>
    </w:p>
    <w:p w14:paraId="5C5D7673" w14:textId="77777777" w:rsidR="005F10CE" w:rsidRDefault="009C1F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Povećanje ovog prihoda rezultat je promjena, i novosti koje donosi  Zakona o financiranju jedinica lokalne i područne (regionalne ) samouprave .Predloženim se Zakonom </w:t>
      </w:r>
      <w:r>
        <w:rPr>
          <w:sz w:val="28"/>
          <w:szCs w:val="28"/>
        </w:rPr>
        <w:t xml:space="preserve">nastoji na jednostavniji i pravedniji način definirati sustav raspodjele prihoda od poreza na dohodak, sustav fiskalnog izravnanja, kao i financiranja decentraliziranih funkcija te definirati sustav koji će svim jedinicama osigurati potencijal za pružanje </w:t>
      </w:r>
      <w:r>
        <w:rPr>
          <w:sz w:val="28"/>
          <w:szCs w:val="28"/>
        </w:rPr>
        <w:t>usporedive razine javnih usluga.</w:t>
      </w:r>
    </w:p>
    <w:p w14:paraId="08960FCB" w14:textId="77777777" w:rsidR="005F10CE" w:rsidRDefault="009C1FE5">
      <w:pPr>
        <w:jc w:val="both"/>
        <w:rPr>
          <w:sz w:val="28"/>
          <w:szCs w:val="28"/>
        </w:rPr>
      </w:pPr>
      <w:r>
        <w:rPr>
          <w:sz w:val="28"/>
          <w:szCs w:val="28"/>
        </w:rPr>
        <w:t>Jedan od ključnih izmjena koju donosi predloženi model o financiranju jedinica lokalne i područne (regionalne ) samouprave je prepuštanje cjelokupnog prihoda od poreza na dohodak  jedinicama lokalne (područne ) regionalne s</w:t>
      </w:r>
      <w:r>
        <w:rPr>
          <w:sz w:val="28"/>
          <w:szCs w:val="28"/>
        </w:rPr>
        <w:t>amouprave. Navedeno se postiže kroz jedinstvenu raspodjelu prihoda od poreza na dohodak koja se primjenjuje na sve jedinice lokalne i područne (regionalne ) samouprave.</w:t>
      </w:r>
    </w:p>
    <w:p w14:paraId="7FE89571" w14:textId="77777777" w:rsidR="005F10CE" w:rsidRDefault="009C1FE5">
      <w:pPr>
        <w:jc w:val="both"/>
        <w:rPr>
          <w:sz w:val="28"/>
          <w:szCs w:val="28"/>
        </w:rPr>
      </w:pPr>
      <w:r>
        <w:rPr>
          <w:sz w:val="28"/>
          <w:szCs w:val="28"/>
        </w:rPr>
        <w:t>Osim navedenog prihod od poreza na dohodak po osnovi kamata na štednju, koji je bio pri</w:t>
      </w:r>
      <w:r>
        <w:rPr>
          <w:sz w:val="28"/>
          <w:szCs w:val="28"/>
        </w:rPr>
        <w:t>hod državnog proračuna, u cijelosti se ustupa jedinicama lokalne i područne (regionalne ) samouprave.</w:t>
      </w:r>
    </w:p>
    <w:p w14:paraId="18BA00D2" w14:textId="77777777" w:rsidR="005F10CE" w:rsidRDefault="009C1FE5">
      <w:pPr>
        <w:jc w:val="both"/>
        <w:rPr>
          <w:sz w:val="28"/>
          <w:szCs w:val="28"/>
        </w:rPr>
      </w:pPr>
      <w:r>
        <w:rPr>
          <w:sz w:val="28"/>
          <w:szCs w:val="28"/>
        </w:rPr>
        <w:t>Kako bi se u konačnici postigao sustav koji će svim jedinicama lokalne i područne (regionalne ) samouprave osigurati potencijal za pružanje usporedive raz</w:t>
      </w:r>
      <w:r>
        <w:rPr>
          <w:sz w:val="28"/>
          <w:szCs w:val="28"/>
        </w:rPr>
        <w:t>ine javnih usluga, uz sve navedene promjene , odnosno novosti.</w:t>
      </w:r>
    </w:p>
    <w:p w14:paraId="32BE3A01" w14:textId="77777777" w:rsidR="005F10CE" w:rsidRDefault="009C1FE5">
      <w:pPr>
        <w:jc w:val="both"/>
        <w:rPr>
          <w:sz w:val="28"/>
          <w:szCs w:val="28"/>
        </w:rPr>
      </w:pPr>
      <w:r>
        <w:rPr>
          <w:sz w:val="28"/>
          <w:szCs w:val="28"/>
        </w:rPr>
        <w:t>Navedenom je cilj ujednačavanje fiskalnih kapaciteta  jedinica lokalne i područne (regionalne ) samouprave, dok će se u okviru drugih zakonskih propisa povesti računa o dodatnim resursima potic</w:t>
      </w:r>
      <w:r>
        <w:rPr>
          <w:sz w:val="28"/>
          <w:szCs w:val="28"/>
        </w:rPr>
        <w:t>anja regionalnog razvoja te demografske obnove jedinica. U svrhu postizanja navedenog , postojeći sustav dodjele pomoći temeljem indeksa razvijenosti propisivan zakonima o izvršavanju državnog proračuna za pojedinu godinu, prestaje se primjenjivati i ispla</w:t>
      </w:r>
      <w:r>
        <w:rPr>
          <w:sz w:val="28"/>
          <w:szCs w:val="28"/>
        </w:rPr>
        <w:t>ćivati s pozicija Ministarstva financija.</w:t>
      </w:r>
    </w:p>
    <w:p w14:paraId="46C3F74E" w14:textId="77777777" w:rsidR="005F10CE" w:rsidRDefault="009C1FE5">
      <w:pPr>
        <w:jc w:val="both"/>
        <w:rPr>
          <w:sz w:val="28"/>
          <w:szCs w:val="28"/>
        </w:rPr>
      </w:pPr>
      <w:r>
        <w:rPr>
          <w:sz w:val="28"/>
          <w:szCs w:val="28"/>
        </w:rPr>
        <w:t>Ova raspodjela sredstava prihoda od poreza na dohodak smanjuje nejednakosti fiskalnog kapaciteta jedinica lokalne i područne (regionalne ) samouprave što omogućava ravnomjerno osiguravanje prihoda za obavljanje nji</w:t>
      </w:r>
      <w:r>
        <w:rPr>
          <w:sz w:val="28"/>
          <w:szCs w:val="28"/>
        </w:rPr>
        <w:t xml:space="preserve">hovih Zakonom propisanih poslova. </w:t>
      </w:r>
    </w:p>
    <w:p w14:paraId="66F334FD" w14:textId="77777777" w:rsidR="005F10CE" w:rsidRDefault="009C1F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Prema naputku Ministarstva financija  gledajući smjernice ekonomske i fiskalne politike za razdoblje 2022-2024. godina , a što se održava na Projekcije proračuna Općine Maruševec ne  očekuje se  nagli nastavak pozitivnih </w:t>
      </w:r>
      <w:r>
        <w:rPr>
          <w:sz w:val="28"/>
          <w:szCs w:val="28"/>
        </w:rPr>
        <w:t>kretanja u gospodarstvu.</w:t>
      </w:r>
    </w:p>
    <w:p w14:paraId="1B44BCF5" w14:textId="77777777" w:rsidR="005F10CE" w:rsidRDefault="009C1F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U 2023. g. predviđa se manjak 1,9% BDP-a, dok će manjak u 2024. iznositi 1,5% BDP-a .</w:t>
      </w:r>
    </w:p>
    <w:p w14:paraId="3711BDD3" w14:textId="77777777" w:rsidR="005F10CE" w:rsidRDefault="009C1FE5">
      <w:pPr>
        <w:jc w:val="both"/>
        <w:rPr>
          <w:sz w:val="28"/>
          <w:szCs w:val="28"/>
        </w:rPr>
      </w:pPr>
      <w:r>
        <w:rPr>
          <w:sz w:val="28"/>
          <w:szCs w:val="28"/>
        </w:rPr>
        <w:t>Prema podacima Ministarstva financija gospodarski rast će se kroz čitavo projekcijsko razdoblje dosta  temeljiti na cjelokupnoj epidemiološkoj si</w:t>
      </w:r>
      <w:r>
        <w:rPr>
          <w:sz w:val="28"/>
          <w:szCs w:val="28"/>
        </w:rPr>
        <w:t xml:space="preserve">tuaciji u državi. </w:t>
      </w:r>
    </w:p>
    <w:p w14:paraId="3EAC11AF" w14:textId="77777777" w:rsidR="005F10CE" w:rsidRDefault="005F10CE">
      <w:pPr>
        <w:jc w:val="both"/>
        <w:rPr>
          <w:sz w:val="28"/>
          <w:szCs w:val="28"/>
        </w:rPr>
      </w:pPr>
    </w:p>
    <w:p w14:paraId="6A2F2BBB" w14:textId="77777777" w:rsidR="005F10CE" w:rsidRDefault="005F10CE">
      <w:pPr>
        <w:jc w:val="both"/>
        <w:rPr>
          <w:sz w:val="28"/>
          <w:szCs w:val="28"/>
        </w:rPr>
      </w:pPr>
    </w:p>
    <w:p w14:paraId="2EAD97E0" w14:textId="77777777" w:rsidR="005F10CE" w:rsidRDefault="009C1FE5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OBRAZLOŽENJE RASHODA / IZDATAKA</w:t>
      </w:r>
    </w:p>
    <w:p w14:paraId="54A83847" w14:textId="77777777" w:rsidR="005F10CE" w:rsidRDefault="005F10CE">
      <w:pPr>
        <w:jc w:val="both"/>
        <w:rPr>
          <w:sz w:val="28"/>
          <w:szCs w:val="28"/>
        </w:rPr>
      </w:pPr>
    </w:p>
    <w:p w14:paraId="5483D5B5" w14:textId="77777777" w:rsidR="005F10CE" w:rsidRDefault="009C1FE5">
      <w:pPr>
        <w:jc w:val="both"/>
        <w:rPr>
          <w:sz w:val="28"/>
          <w:szCs w:val="28"/>
        </w:rPr>
      </w:pPr>
      <w:r>
        <w:rPr>
          <w:sz w:val="28"/>
          <w:szCs w:val="28"/>
        </w:rPr>
        <w:t>Ukupni rashodi i izdaci Proračuna Općine Maruševec  planirani su Proračunom za 2022. godinu u iznosu od =26.970.000,00 kn</w:t>
      </w:r>
    </w:p>
    <w:p w14:paraId="60AA5964" w14:textId="77777777" w:rsidR="005F10CE" w:rsidRDefault="009C1FE5">
      <w:pPr>
        <w:jc w:val="both"/>
        <w:rPr>
          <w:sz w:val="28"/>
          <w:szCs w:val="28"/>
        </w:rPr>
      </w:pPr>
      <w:r>
        <w:rPr>
          <w:sz w:val="28"/>
          <w:szCs w:val="28"/>
        </w:rPr>
        <w:t>Rashodi poslovanja za 2022. godinu planirani su u iznosu od =15.794.000,00k</w:t>
      </w:r>
      <w:r>
        <w:rPr>
          <w:sz w:val="28"/>
          <w:szCs w:val="28"/>
        </w:rPr>
        <w:t>n a rashodi za nabavu nefinancijske imovine u iznosu od =11.176.000,00 kn</w:t>
      </w:r>
    </w:p>
    <w:p w14:paraId="02344CF7" w14:textId="77777777" w:rsidR="005F10CE" w:rsidRDefault="009C1FE5">
      <w:pPr>
        <w:jc w:val="both"/>
        <w:rPr>
          <w:sz w:val="28"/>
          <w:szCs w:val="28"/>
        </w:rPr>
      </w:pPr>
      <w:r>
        <w:rPr>
          <w:sz w:val="28"/>
          <w:szCs w:val="28"/>
        </w:rPr>
        <w:t>U rashodovnoj strani Proračuna Općine Maruševec za 2022. godinu  u većem iznosu zastupljeni su rashodi koji ju u prihodovnoj strani povezani sa prihodima od kapitalnih pomoći iz Drža</w:t>
      </w:r>
      <w:r>
        <w:rPr>
          <w:sz w:val="28"/>
          <w:szCs w:val="28"/>
        </w:rPr>
        <w:t>vnog proračuna ,i od pomoći iz Državnog proračuna temeljem prijenosa EU sredstava.</w:t>
      </w:r>
    </w:p>
    <w:p w14:paraId="2B7947F8" w14:textId="77777777" w:rsidR="005F10CE" w:rsidRDefault="009C1FE5">
      <w:pPr>
        <w:jc w:val="both"/>
        <w:rPr>
          <w:sz w:val="28"/>
          <w:szCs w:val="28"/>
        </w:rPr>
      </w:pPr>
      <w:r>
        <w:rPr>
          <w:sz w:val="28"/>
          <w:szCs w:val="28"/>
        </w:rPr>
        <w:t>Ukupni rashodi u 2023. godini projiciraju se u iznosu od =24.837.533,00 kn, a u 2024. godini u iznosu od =24.939.252,00 kn</w:t>
      </w:r>
    </w:p>
    <w:p w14:paraId="66CABD53" w14:textId="77777777" w:rsidR="005F10CE" w:rsidRDefault="005F10CE">
      <w:pPr>
        <w:jc w:val="both"/>
        <w:rPr>
          <w:sz w:val="28"/>
          <w:szCs w:val="28"/>
        </w:rPr>
      </w:pPr>
    </w:p>
    <w:p w14:paraId="0ACE0DE5" w14:textId="77777777" w:rsidR="005F10CE" w:rsidRDefault="005F10CE">
      <w:pPr>
        <w:jc w:val="both"/>
        <w:rPr>
          <w:sz w:val="28"/>
          <w:szCs w:val="28"/>
        </w:rPr>
      </w:pPr>
    </w:p>
    <w:sectPr w:rsidR="005F10CE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7C12D" w14:textId="77777777" w:rsidR="009C1FE5" w:rsidRDefault="009C1FE5">
      <w:pPr>
        <w:spacing w:after="0"/>
      </w:pPr>
      <w:r>
        <w:separator/>
      </w:r>
    </w:p>
  </w:endnote>
  <w:endnote w:type="continuationSeparator" w:id="0">
    <w:p w14:paraId="4F7818F2" w14:textId="77777777" w:rsidR="009C1FE5" w:rsidRDefault="009C1F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F86A8" w14:textId="77777777" w:rsidR="009C1FE5" w:rsidRDefault="009C1FE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19CED6A" w14:textId="77777777" w:rsidR="009C1FE5" w:rsidRDefault="009C1FE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10CE"/>
    <w:rsid w:val="005F10CE"/>
    <w:rsid w:val="009C1FE5"/>
    <w:rsid w:val="00DA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B4F6"/>
  <w15:docId w15:val="{2B6049FB-C836-41CB-A3DC-A7091D94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Mario Klapsa</cp:lastModifiedBy>
  <cp:revision>2</cp:revision>
  <cp:lastPrinted>2021-11-15T12:36:00Z</cp:lastPrinted>
  <dcterms:created xsi:type="dcterms:W3CDTF">2021-11-15T14:08:00Z</dcterms:created>
  <dcterms:modified xsi:type="dcterms:W3CDTF">2021-11-15T14:08:00Z</dcterms:modified>
</cp:coreProperties>
</file>